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4064E" w14:textId="7B3F182A" w:rsidR="00903E1C" w:rsidRDefault="00903E1C">
      <w:pPr>
        <w:rPr>
          <w:rStyle w:val="lev"/>
          <w:rFonts w:ascii="Montserrat" w:hAnsi="Montserrat"/>
          <w:color w:val="383838"/>
          <w:sz w:val="57"/>
          <w:szCs w:val="57"/>
          <w:bdr w:val="none" w:sz="0" w:space="0" w:color="auto" w:frame="1"/>
          <w:shd w:val="clear" w:color="auto" w:fill="FFFFFF"/>
        </w:rPr>
      </w:pPr>
      <w:r>
        <w:rPr>
          <w:rStyle w:val="lev"/>
          <w:rFonts w:ascii="Montserrat" w:hAnsi="Montserrat"/>
          <w:color w:val="383838"/>
          <w:sz w:val="57"/>
          <w:szCs w:val="57"/>
          <w:bdr w:val="none" w:sz="0" w:space="0" w:color="auto" w:frame="1"/>
          <w:shd w:val="clear" w:color="auto" w:fill="FFFFFF"/>
        </w:rPr>
        <w:t>Dates des vendanges : comment le climat souffle le chaud et le froid</w:t>
      </w:r>
    </w:p>
    <w:p w14:paraId="1798D395" w14:textId="3C64D0A7" w:rsidR="00903E1C" w:rsidRPr="00A92B13" w:rsidRDefault="00903E1C">
      <w:pPr>
        <w:rPr>
          <w:rStyle w:val="lev"/>
          <w:rFonts w:ascii="Libre Baskerville" w:eastAsia="Times New Roman" w:hAnsi="Libre Baskerville" w:cs="Times New Roman"/>
          <w:color w:val="000000" w:themeColor="text1"/>
          <w:kern w:val="0"/>
          <w:sz w:val="27"/>
          <w:szCs w:val="27"/>
          <w:lang w:eastAsia="fr-FR"/>
          <w14:ligatures w14:val="none"/>
        </w:rPr>
      </w:pPr>
      <w:r w:rsidRPr="00A92B13">
        <w:rPr>
          <w:rFonts w:ascii="Libre Baskerville" w:eastAsia="Times New Roman" w:hAnsi="Libre Baskerville" w:cs="Times New Roman"/>
          <w:b/>
          <w:bCs/>
          <w:color w:val="000000"/>
          <w:kern w:val="0"/>
          <w:sz w:val="27"/>
          <w:szCs w:val="27"/>
          <w:lang w:eastAsia="fr-FR"/>
          <w14:ligatures w14:val="none"/>
        </w:rPr>
        <w:t xml:space="preserve">Les </w:t>
      </w:r>
      <w:r w:rsidRPr="00903E1C">
        <w:rPr>
          <w:rFonts w:ascii="Libre Baskerville" w:eastAsia="Times New Roman" w:hAnsi="Libre Baskerville" w:cs="Times New Roman"/>
          <w:b/>
          <w:bCs/>
          <w:color w:val="000000"/>
          <w:kern w:val="0"/>
          <w:sz w:val="27"/>
          <w:szCs w:val="27"/>
          <w:lang w:eastAsia="fr-FR"/>
          <w14:ligatures w14:val="none"/>
        </w:rPr>
        <w:t>vendanges</w:t>
      </w:r>
      <w:r w:rsidRPr="00A92B13">
        <w:rPr>
          <w:rFonts w:ascii="Libre Baskerville" w:eastAsia="Times New Roman" w:hAnsi="Libre Baskerville" w:cs="Times New Roman"/>
          <w:b/>
          <w:bCs/>
          <w:color w:val="000000"/>
          <w:kern w:val="0"/>
          <w:sz w:val="27"/>
          <w:szCs w:val="27"/>
          <w:lang w:eastAsia="fr-FR"/>
          <w14:ligatures w14:val="none"/>
        </w:rPr>
        <w:t xml:space="preserve"> sont </w:t>
      </w:r>
      <w:r w:rsidRPr="00903E1C">
        <w:rPr>
          <w:rFonts w:ascii="Libre Baskerville" w:eastAsia="Times New Roman" w:hAnsi="Libre Baskerville" w:cs="Times New Roman"/>
          <w:b/>
          <w:bCs/>
          <w:color w:val="000000"/>
          <w:kern w:val="0"/>
          <w:sz w:val="27"/>
          <w:szCs w:val="27"/>
          <w:lang w:eastAsia="fr-FR"/>
          <w14:ligatures w14:val="none"/>
        </w:rPr>
        <w:t xml:space="preserve">depuis longtemps un bon indicateur du climat. </w:t>
      </w:r>
      <w:r w:rsidRPr="00A92B13">
        <w:rPr>
          <w:rFonts w:ascii="Libre Baskerville" w:eastAsia="Times New Roman" w:hAnsi="Libre Baskerville" w:cs="Times New Roman"/>
          <w:b/>
          <w:bCs/>
          <w:color w:val="000000"/>
          <w:kern w:val="0"/>
          <w:sz w:val="27"/>
          <w:szCs w:val="27"/>
          <w:lang w:eastAsia="fr-FR"/>
          <w14:ligatures w14:val="none"/>
        </w:rPr>
        <w:t>L</w:t>
      </w:r>
      <w:r w:rsidRPr="00903E1C">
        <w:rPr>
          <w:rFonts w:ascii="Libre Baskerville" w:eastAsia="Times New Roman" w:hAnsi="Libre Baskerville" w:cs="Times New Roman"/>
          <w:b/>
          <w:bCs/>
          <w:color w:val="000000"/>
          <w:kern w:val="0"/>
          <w:sz w:val="27"/>
          <w:szCs w:val="27"/>
          <w:lang w:eastAsia="fr-FR"/>
          <w14:ligatures w14:val="none"/>
        </w:rPr>
        <w:t xml:space="preserve">’obligation ancienne de publier un ban des vendanges permet de disposer </w:t>
      </w:r>
      <w:r w:rsidRPr="00903E1C">
        <w:rPr>
          <w:rFonts w:ascii="Libre Baskerville" w:eastAsia="Times New Roman" w:hAnsi="Libre Baskerville" w:cs="Times New Roman"/>
          <w:b/>
          <w:bCs/>
          <w:color w:val="000000" w:themeColor="text1"/>
          <w:kern w:val="0"/>
          <w:sz w:val="27"/>
          <w:szCs w:val="27"/>
          <w:lang w:eastAsia="fr-FR"/>
          <w14:ligatures w14:val="none"/>
        </w:rPr>
        <w:t>d</w:t>
      </w:r>
      <w:r w:rsidRPr="00A92B13">
        <w:rPr>
          <w:rFonts w:ascii="Libre Baskerville" w:eastAsia="Times New Roman" w:hAnsi="Libre Baskerville" w:cs="Times New Roman"/>
          <w:b/>
          <w:bCs/>
          <w:color w:val="000000" w:themeColor="text1"/>
          <w:kern w:val="0"/>
          <w:sz w:val="27"/>
          <w:szCs w:val="27"/>
          <w:lang w:eastAsia="fr-FR"/>
          <w14:ligatures w14:val="none"/>
        </w:rPr>
        <w:t xml:space="preserve">’une </w:t>
      </w:r>
      <w:r w:rsidRPr="00903E1C">
        <w:rPr>
          <w:rFonts w:ascii="Libre Baskerville" w:eastAsia="Times New Roman" w:hAnsi="Libre Baskerville" w:cs="Times New Roman"/>
          <w:b/>
          <w:bCs/>
          <w:color w:val="000000" w:themeColor="text1"/>
          <w:kern w:val="0"/>
          <w:sz w:val="27"/>
          <w:szCs w:val="27"/>
          <w:lang w:eastAsia="fr-FR"/>
          <w14:ligatures w14:val="none"/>
        </w:rPr>
        <w:t>longue série de données de dates de vendanges</w:t>
      </w:r>
      <w:r w:rsidRPr="00A92B13">
        <w:rPr>
          <w:rFonts w:ascii="Libre Baskerville" w:eastAsia="Times New Roman" w:hAnsi="Libre Baskerville" w:cs="Times New Roman"/>
          <w:b/>
          <w:bCs/>
          <w:color w:val="000000" w:themeColor="text1"/>
          <w:kern w:val="0"/>
          <w:sz w:val="27"/>
          <w:szCs w:val="27"/>
          <w:lang w:eastAsia="fr-FR"/>
          <w14:ligatures w14:val="none"/>
        </w:rPr>
        <w:t>.</w:t>
      </w:r>
      <w:r w:rsidR="00A92B13" w:rsidRPr="00A92B13">
        <w:rPr>
          <w:rFonts w:ascii="Libre Baskerville" w:eastAsia="Times New Roman" w:hAnsi="Libre Baskerville" w:cs="Times New Roman"/>
          <w:b/>
          <w:bCs/>
          <w:color w:val="000000"/>
          <w:kern w:val="0"/>
          <w:sz w:val="27"/>
          <w:szCs w:val="27"/>
          <w:lang w:eastAsia="fr-FR"/>
          <w14:ligatures w14:val="none"/>
        </w:rPr>
        <w:t xml:space="preserve"> Cela permet de montrer que l</w:t>
      </w:r>
      <w:r w:rsidR="00A92B13" w:rsidRPr="00903E1C">
        <w:rPr>
          <w:rFonts w:ascii="Libre Baskerville" w:eastAsia="Times New Roman" w:hAnsi="Libre Baskerville" w:cs="Times New Roman"/>
          <w:b/>
          <w:bCs/>
          <w:color w:val="000000"/>
          <w:kern w:val="0"/>
          <w:sz w:val="27"/>
          <w:szCs w:val="27"/>
          <w:lang w:eastAsia="fr-FR"/>
          <w14:ligatures w14:val="none"/>
        </w:rPr>
        <w:t xml:space="preserve">es dates de vendanges ont avancé en moyenne de 2 à 3 semaines au cours des 40 dernières années. </w:t>
      </w:r>
      <w:r w:rsidR="00A92B13" w:rsidRPr="00A92B13">
        <w:rPr>
          <w:rFonts w:ascii="Libre Baskerville" w:eastAsia="Times New Roman" w:hAnsi="Libre Baskerville" w:cs="Times New Roman"/>
          <w:b/>
          <w:bCs/>
          <w:color w:val="000000"/>
          <w:kern w:val="0"/>
          <w:sz w:val="27"/>
          <w:szCs w:val="27"/>
          <w:lang w:eastAsia="fr-FR"/>
          <w14:ligatures w14:val="none"/>
        </w:rPr>
        <w:t xml:space="preserve">Et </w:t>
      </w:r>
      <w:r w:rsidR="00A92B13" w:rsidRPr="00903E1C">
        <w:rPr>
          <w:rFonts w:ascii="Libre Baskerville" w:eastAsia="Times New Roman" w:hAnsi="Libre Baskerville" w:cs="Times New Roman"/>
          <w:b/>
          <w:bCs/>
          <w:color w:val="000000"/>
          <w:kern w:val="0"/>
          <w:sz w:val="27"/>
          <w:szCs w:val="27"/>
          <w:lang w:eastAsia="fr-FR"/>
          <w14:ligatures w14:val="none"/>
        </w:rPr>
        <w:t>le réchauffement provoque une </w:t>
      </w:r>
      <w:r w:rsidR="00A92B13" w:rsidRPr="00903E1C">
        <w:rPr>
          <w:rFonts w:ascii="Libre Baskerville" w:eastAsia="Times New Roman" w:hAnsi="Libre Baskerville" w:cs="Times New Roman"/>
          <w:b/>
          <w:bCs/>
          <w:color w:val="000000" w:themeColor="text1"/>
          <w:kern w:val="0"/>
          <w:sz w:val="27"/>
          <w:szCs w:val="27"/>
          <w:lang w:eastAsia="fr-FR"/>
          <w14:ligatures w14:val="none"/>
        </w:rPr>
        <w:t>avancée de tous les stades </w:t>
      </w:r>
      <w:r w:rsidR="00A92B13" w:rsidRPr="00903E1C">
        <w:rPr>
          <w:rFonts w:ascii="Libre Baskerville" w:eastAsia="Times New Roman" w:hAnsi="Libre Baskerville" w:cs="Times New Roman"/>
          <w:b/>
          <w:bCs/>
          <w:color w:val="000000"/>
          <w:kern w:val="0"/>
          <w:sz w:val="27"/>
          <w:szCs w:val="27"/>
          <w:lang w:eastAsia="fr-FR"/>
          <w14:ligatures w14:val="none"/>
        </w:rPr>
        <w:t>de croissance de la vigne et de maturation des raisins</w:t>
      </w:r>
      <w:r w:rsidR="00A92B13" w:rsidRPr="00A92B13">
        <w:rPr>
          <w:rFonts w:ascii="Libre Baskerville" w:eastAsia="Times New Roman" w:hAnsi="Libre Baskerville" w:cs="Times New Roman"/>
          <w:b/>
          <w:bCs/>
          <w:color w:val="000000"/>
          <w:kern w:val="0"/>
          <w:sz w:val="27"/>
          <w:szCs w:val="27"/>
          <w:lang w:eastAsia="fr-FR"/>
          <w14:ligatures w14:val="none"/>
        </w:rPr>
        <w:t>.</w:t>
      </w:r>
    </w:p>
    <w:p w14:paraId="6B9B77CF" w14:textId="77777777" w:rsidR="00903E1C" w:rsidRDefault="00903E1C" w:rsidP="00903E1C">
      <w:pPr>
        <w:pStyle w:val="NormalWeb"/>
        <w:spacing w:before="0" w:beforeAutospacing="0" w:after="270" w:afterAutospacing="0"/>
        <w:textAlignment w:val="baseline"/>
        <w:rPr>
          <w:rFonts w:ascii="Libre Baskerville" w:hAnsi="Libre Baskerville"/>
          <w:color w:val="000000"/>
          <w:sz w:val="27"/>
          <w:szCs w:val="27"/>
        </w:rPr>
      </w:pPr>
      <w:r>
        <w:rPr>
          <w:rFonts w:ascii="Libre Baskerville" w:hAnsi="Libre Baskerville"/>
          <w:color w:val="000000"/>
          <w:sz w:val="27"/>
          <w:szCs w:val="27"/>
        </w:rPr>
        <w:t>Selon un dicton du sud de l’Allemagne « Le cépage est la mère du vin, le sol est son père et le climat est son destin ». Quoi de plus juste ! Cependant, pour compléter ce triptyque qui décrit en partie le</w:t>
      </w:r>
      <w:r>
        <w:rPr>
          <w:rStyle w:val="apple-converted-space"/>
          <w:rFonts w:ascii="Libre Baskerville" w:eastAsiaTheme="majorEastAsia" w:hAnsi="Libre Baskerville"/>
          <w:color w:val="000000"/>
          <w:sz w:val="27"/>
          <w:szCs w:val="27"/>
        </w:rPr>
        <w:t> </w:t>
      </w:r>
      <w:hyperlink r:id="rId4" w:history="1">
        <w:r>
          <w:rPr>
            <w:rStyle w:val="Lienhypertexte"/>
            <w:rFonts w:ascii="Libre Baskerville" w:eastAsiaTheme="majorEastAsia" w:hAnsi="Libre Baskerville"/>
            <w:color w:val="4B4B4E"/>
            <w:sz w:val="27"/>
            <w:szCs w:val="27"/>
          </w:rPr>
          <w:t>« terroir » viticole</w:t>
        </w:r>
      </w:hyperlink>
      <w:r>
        <w:rPr>
          <w:rFonts w:ascii="Libre Baskerville" w:hAnsi="Libre Baskerville"/>
          <w:color w:val="000000"/>
          <w:sz w:val="27"/>
          <w:szCs w:val="27"/>
        </w:rPr>
        <w:t>, il faut ajouter un autre acteur : le viticulteur qui choisit les cépages, travaille le sol et la vigne dans ses parcelles puis les raisins et le vin au chais. Il faut considérer également l’Homme en général qui, lui, détient les rênes du destin ; comprendre celles du climat et de son évolution à moyen et long terme par le contrôle (ou non) des émissions de gaz à effet de serre qui contribuent au changement climatique.</w:t>
      </w:r>
    </w:p>
    <w:p w14:paraId="46502175" w14:textId="77777777" w:rsidR="00903E1C" w:rsidRDefault="00903E1C" w:rsidP="00903E1C">
      <w:pPr>
        <w:pStyle w:val="NormalWeb"/>
        <w:spacing w:before="0" w:beforeAutospacing="0" w:after="270" w:afterAutospacing="0"/>
        <w:textAlignment w:val="baseline"/>
        <w:rPr>
          <w:rFonts w:ascii="Libre Baskerville" w:hAnsi="Libre Baskerville"/>
          <w:color w:val="000000"/>
          <w:sz w:val="27"/>
          <w:szCs w:val="27"/>
        </w:rPr>
      </w:pPr>
      <w:r>
        <w:rPr>
          <w:rFonts w:ascii="Libre Baskerville" w:hAnsi="Libre Baskerville"/>
          <w:color w:val="000000"/>
          <w:sz w:val="27"/>
          <w:szCs w:val="27"/>
        </w:rPr>
        <w:t>Si la vigne est donc une construction humaine, celle-ci a également contribué en retour à façonner l’imaginaire de l’homme, à rythmer sa vie et notamment sa façon de segmenter le temps qui passe. Ainsi, à titre d’exemple, on peut rappeler en France que le calendrier révolutionnaire créé en 1792 a nommé Vendémiaire (de latin</w:t>
      </w:r>
      <w:r>
        <w:rPr>
          <w:rStyle w:val="apple-converted-space"/>
          <w:rFonts w:ascii="Libre Baskerville" w:eastAsiaTheme="majorEastAsia" w:hAnsi="Libre Baskerville"/>
          <w:color w:val="000000"/>
          <w:sz w:val="27"/>
          <w:szCs w:val="27"/>
        </w:rPr>
        <w:t> </w:t>
      </w:r>
      <w:proofErr w:type="spellStart"/>
      <w:r>
        <w:rPr>
          <w:rFonts w:ascii="Libre Baskerville" w:hAnsi="Libre Baskerville"/>
          <w:color w:val="000000"/>
          <w:sz w:val="27"/>
          <w:szCs w:val="27"/>
        </w:rPr>
        <w:fldChar w:fldCharType="begin"/>
      </w:r>
      <w:r>
        <w:rPr>
          <w:rFonts w:ascii="Libre Baskerville" w:hAnsi="Libre Baskerville"/>
          <w:color w:val="000000"/>
          <w:sz w:val="27"/>
          <w:szCs w:val="27"/>
        </w:rPr>
        <w:instrText>HYPERLINK "https://www.dicolatin.com/Latin/Lemme/0/VINDEMIA/index.html"</w:instrText>
      </w:r>
      <w:r>
        <w:rPr>
          <w:rFonts w:ascii="Libre Baskerville" w:hAnsi="Libre Baskerville"/>
          <w:color w:val="000000"/>
          <w:sz w:val="27"/>
          <w:szCs w:val="27"/>
        </w:rPr>
      </w:r>
      <w:r>
        <w:rPr>
          <w:rFonts w:ascii="Libre Baskerville" w:hAnsi="Libre Baskerville"/>
          <w:color w:val="000000"/>
          <w:sz w:val="27"/>
          <w:szCs w:val="27"/>
        </w:rPr>
        <w:fldChar w:fldCharType="separate"/>
      </w:r>
      <w:r>
        <w:rPr>
          <w:rStyle w:val="Lienhypertexte"/>
          <w:rFonts w:ascii="Libre Baskerville" w:eastAsiaTheme="majorEastAsia" w:hAnsi="Libre Baskerville"/>
          <w:color w:val="4B4B4E"/>
          <w:sz w:val="27"/>
          <w:szCs w:val="27"/>
        </w:rPr>
        <w:t>vindemia</w:t>
      </w:r>
      <w:proofErr w:type="spellEnd"/>
      <w:r>
        <w:rPr>
          <w:rFonts w:ascii="Libre Baskerville" w:hAnsi="Libre Baskerville"/>
          <w:color w:val="000000"/>
          <w:sz w:val="27"/>
          <w:szCs w:val="27"/>
        </w:rPr>
        <w:fldChar w:fldCharType="end"/>
      </w:r>
      <w:r>
        <w:rPr>
          <w:rFonts w:ascii="Libre Baskerville" w:hAnsi="Libre Baskerville"/>
          <w:color w:val="000000"/>
          <w:sz w:val="27"/>
          <w:szCs w:val="27"/>
        </w:rPr>
        <w:t xml:space="preserve">, signifiant vendange), le mois allant du 22 septembre au 21 octobre. Dans la Rome Antique, la vigne et le vin faisaient l’objet des fêtes romaines </w:t>
      </w:r>
      <w:proofErr w:type="spellStart"/>
      <w:r>
        <w:rPr>
          <w:rFonts w:ascii="Libre Baskerville" w:hAnsi="Libre Baskerville"/>
          <w:color w:val="000000"/>
          <w:sz w:val="27"/>
          <w:szCs w:val="27"/>
        </w:rPr>
        <w:t>Vinilia</w:t>
      </w:r>
      <w:proofErr w:type="spellEnd"/>
      <w:r>
        <w:rPr>
          <w:rFonts w:ascii="Libre Baskerville" w:hAnsi="Libre Baskerville"/>
          <w:color w:val="000000"/>
          <w:sz w:val="27"/>
          <w:szCs w:val="27"/>
        </w:rPr>
        <w:t>, et</w:t>
      </w:r>
      <w:r>
        <w:rPr>
          <w:rStyle w:val="apple-converted-space"/>
          <w:rFonts w:ascii="Libre Baskerville" w:eastAsiaTheme="majorEastAsia" w:hAnsi="Libre Baskerville"/>
          <w:color w:val="000000"/>
          <w:sz w:val="27"/>
          <w:szCs w:val="27"/>
        </w:rPr>
        <w:t> </w:t>
      </w:r>
      <w:proofErr w:type="spellStart"/>
      <w:r>
        <w:rPr>
          <w:rFonts w:ascii="Libre Baskerville" w:hAnsi="Libre Baskerville"/>
          <w:color w:val="000000"/>
          <w:sz w:val="27"/>
          <w:szCs w:val="27"/>
        </w:rPr>
        <w:fldChar w:fldCharType="begin"/>
      </w:r>
      <w:r>
        <w:rPr>
          <w:rFonts w:ascii="Libre Baskerville" w:hAnsi="Libre Baskerville"/>
          <w:color w:val="000000"/>
          <w:sz w:val="27"/>
          <w:szCs w:val="27"/>
        </w:rPr>
        <w:instrText>HYPERLINK "https://preo.u-bourgogne.fr/territoiresduvin/index.php?id=1339"</w:instrText>
      </w:r>
      <w:r>
        <w:rPr>
          <w:rFonts w:ascii="Libre Baskerville" w:hAnsi="Libre Baskerville"/>
          <w:color w:val="000000"/>
          <w:sz w:val="27"/>
          <w:szCs w:val="27"/>
        </w:rPr>
      </w:r>
      <w:r>
        <w:rPr>
          <w:rFonts w:ascii="Libre Baskerville" w:hAnsi="Libre Baskerville"/>
          <w:color w:val="000000"/>
          <w:sz w:val="27"/>
          <w:szCs w:val="27"/>
        </w:rPr>
        <w:fldChar w:fldCharType="separate"/>
      </w:r>
      <w:r>
        <w:rPr>
          <w:rStyle w:val="Lienhypertexte"/>
          <w:rFonts w:ascii="Libre Baskerville" w:eastAsiaTheme="majorEastAsia" w:hAnsi="Libre Baskerville"/>
          <w:color w:val="4B4B4E"/>
          <w:sz w:val="27"/>
          <w:szCs w:val="27"/>
        </w:rPr>
        <w:t>Vinilia</w:t>
      </w:r>
      <w:proofErr w:type="spellEnd"/>
      <w:r>
        <w:rPr>
          <w:rStyle w:val="Lienhypertexte"/>
          <w:rFonts w:ascii="Libre Baskerville" w:eastAsiaTheme="majorEastAsia" w:hAnsi="Libre Baskerville"/>
          <w:color w:val="4B4B4E"/>
          <w:sz w:val="27"/>
          <w:szCs w:val="27"/>
        </w:rPr>
        <w:t xml:space="preserve"> </w:t>
      </w:r>
      <w:proofErr w:type="spellStart"/>
      <w:r>
        <w:rPr>
          <w:rStyle w:val="Lienhypertexte"/>
          <w:rFonts w:ascii="Libre Baskerville" w:eastAsiaTheme="majorEastAsia" w:hAnsi="Libre Baskerville"/>
          <w:color w:val="4B4B4E"/>
          <w:sz w:val="27"/>
          <w:szCs w:val="27"/>
        </w:rPr>
        <w:t>Rustica</w:t>
      </w:r>
      <w:proofErr w:type="spellEnd"/>
      <w:r>
        <w:rPr>
          <w:rFonts w:ascii="Libre Baskerville" w:hAnsi="Libre Baskerville"/>
          <w:color w:val="000000"/>
          <w:sz w:val="27"/>
          <w:szCs w:val="27"/>
        </w:rPr>
        <w:fldChar w:fldCharType="end"/>
      </w:r>
      <w:r>
        <w:rPr>
          <w:rStyle w:val="apple-converted-space"/>
          <w:rFonts w:ascii="Libre Baskerville" w:eastAsiaTheme="majorEastAsia" w:hAnsi="Libre Baskerville"/>
          <w:color w:val="000000"/>
          <w:sz w:val="27"/>
          <w:szCs w:val="27"/>
        </w:rPr>
        <w:t> </w:t>
      </w:r>
      <w:r>
        <w:rPr>
          <w:rFonts w:ascii="Libre Baskerville" w:hAnsi="Libre Baskerville"/>
          <w:color w:val="000000"/>
          <w:sz w:val="27"/>
          <w:szCs w:val="27"/>
        </w:rPr>
        <w:t>plus particulièrement marquait le début des vendanges.</w:t>
      </w:r>
    </w:p>
    <w:p w14:paraId="60273427" w14:textId="77777777" w:rsidR="00903E1C" w:rsidRPr="00903E1C" w:rsidRDefault="00903E1C" w:rsidP="00903E1C">
      <w:pPr>
        <w:spacing w:after="180" w:line="240" w:lineRule="auto"/>
        <w:textAlignment w:val="baseline"/>
        <w:outlineLvl w:val="1"/>
        <w:rPr>
          <w:rFonts w:ascii="Libre Baskerville" w:eastAsia="Times New Roman" w:hAnsi="Libre Baskerville" w:cs="Times New Roman"/>
          <w:b/>
          <w:bCs/>
          <w:color w:val="000000"/>
          <w:kern w:val="0"/>
          <w:sz w:val="35"/>
          <w:szCs w:val="35"/>
          <w:lang w:eastAsia="fr-FR"/>
          <w14:ligatures w14:val="none"/>
        </w:rPr>
      </w:pPr>
      <w:r w:rsidRPr="00903E1C">
        <w:rPr>
          <w:rFonts w:ascii="Libre Baskerville" w:eastAsia="Times New Roman" w:hAnsi="Libre Baskerville" w:cs="Times New Roman"/>
          <w:b/>
          <w:bCs/>
          <w:color w:val="000000"/>
          <w:kern w:val="0"/>
          <w:sz w:val="35"/>
          <w:szCs w:val="35"/>
          <w:lang w:eastAsia="fr-FR"/>
          <w14:ligatures w14:val="none"/>
        </w:rPr>
        <w:t>Les dates des vendanges : un bon indicateur climatique</w:t>
      </w:r>
    </w:p>
    <w:p w14:paraId="5B08A43E" w14:textId="77777777" w:rsidR="00903E1C" w:rsidRDefault="00903E1C" w:rsidP="00903E1C">
      <w:pPr>
        <w:spacing w:after="270" w:line="240" w:lineRule="auto"/>
        <w:textAlignment w:val="baseline"/>
        <w:rPr>
          <w:rFonts w:ascii="Libre Baskerville" w:eastAsia="Times New Roman" w:hAnsi="Libre Baskerville" w:cs="Times New Roman"/>
          <w:color w:val="000000"/>
          <w:kern w:val="0"/>
          <w:sz w:val="27"/>
          <w:szCs w:val="27"/>
          <w:lang w:eastAsia="fr-FR"/>
          <w14:ligatures w14:val="none"/>
        </w:rPr>
      </w:pPr>
      <w:r w:rsidRPr="00903E1C">
        <w:rPr>
          <w:rFonts w:ascii="Libre Baskerville" w:eastAsia="Times New Roman" w:hAnsi="Libre Baskerville" w:cs="Times New Roman"/>
          <w:color w:val="000000"/>
          <w:kern w:val="0"/>
          <w:sz w:val="27"/>
          <w:szCs w:val="27"/>
          <w:lang w:eastAsia="fr-FR"/>
          <w14:ligatures w14:val="none"/>
        </w:rPr>
        <w:lastRenderedPageBreak/>
        <w:t>La vigne, à travers les dates de vendanges, est également depuis longtemps un bon indicateur du climat. En effet, l’obligation ancienne de publier un ban des vendanges pour commencer à vendanger nous permet de disposer de </w:t>
      </w:r>
      <w:hyperlink r:id="rId5" w:history="1">
        <w:r w:rsidRPr="00903E1C">
          <w:rPr>
            <w:rFonts w:ascii="Libre Baskerville" w:eastAsia="Times New Roman" w:hAnsi="Libre Baskerville" w:cs="Times New Roman"/>
            <w:color w:val="4B4B4E"/>
            <w:kern w:val="0"/>
            <w:sz w:val="27"/>
            <w:szCs w:val="27"/>
            <w:u w:val="single"/>
            <w:lang w:eastAsia="fr-FR"/>
            <w14:ligatures w14:val="none"/>
          </w:rPr>
          <w:t xml:space="preserve">longues séries de données de dates de vendanges comme celle publiée dès le XIXème siècle par l’archiviste de la ville de Dijon Joseph </w:t>
        </w:r>
        <w:proofErr w:type="spellStart"/>
        <w:r w:rsidRPr="00903E1C">
          <w:rPr>
            <w:rFonts w:ascii="Libre Baskerville" w:eastAsia="Times New Roman" w:hAnsi="Libre Baskerville" w:cs="Times New Roman"/>
            <w:color w:val="4B4B4E"/>
            <w:kern w:val="0"/>
            <w:sz w:val="27"/>
            <w:szCs w:val="27"/>
            <w:u w:val="single"/>
            <w:lang w:eastAsia="fr-FR"/>
            <w14:ligatures w14:val="none"/>
          </w:rPr>
          <w:t>Garnier</w:t>
        </w:r>
      </w:hyperlink>
      <w:r w:rsidRPr="00903E1C">
        <w:rPr>
          <w:rFonts w:ascii="Libre Baskerville" w:eastAsia="Times New Roman" w:hAnsi="Libre Baskerville" w:cs="Times New Roman"/>
          <w:color w:val="000000"/>
          <w:kern w:val="0"/>
          <w:sz w:val="27"/>
          <w:szCs w:val="27"/>
          <w:lang w:eastAsia="fr-FR"/>
          <w14:ligatures w14:val="none"/>
        </w:rPr>
        <w:t>et</w:t>
      </w:r>
      <w:proofErr w:type="spellEnd"/>
      <w:r w:rsidRPr="00903E1C">
        <w:rPr>
          <w:rFonts w:ascii="Libre Baskerville" w:eastAsia="Times New Roman" w:hAnsi="Libre Baskerville" w:cs="Times New Roman"/>
          <w:color w:val="000000"/>
          <w:kern w:val="0"/>
          <w:sz w:val="27"/>
          <w:szCs w:val="27"/>
          <w:lang w:eastAsia="fr-FR"/>
          <w14:ligatures w14:val="none"/>
        </w:rPr>
        <w:t xml:space="preserve"> bien connue des historiens, comme Emmanuel Le Roy Ladurie qui l’indique dans son livre sur l’</w:t>
      </w:r>
      <w:hyperlink r:id="rId6" w:history="1">
        <w:r w:rsidRPr="00903E1C">
          <w:rPr>
            <w:rFonts w:ascii="Libre Baskerville" w:eastAsia="Times New Roman" w:hAnsi="Libre Baskerville" w:cs="Times New Roman"/>
            <w:color w:val="4B4B4E"/>
            <w:kern w:val="0"/>
            <w:sz w:val="27"/>
            <w:szCs w:val="27"/>
            <w:u w:val="single"/>
            <w:lang w:eastAsia="fr-FR"/>
            <w14:ligatures w14:val="none"/>
          </w:rPr>
          <w:t>Histoire du climat depuis l’an mil</w:t>
        </w:r>
      </w:hyperlink>
      <w:r w:rsidRPr="00903E1C">
        <w:rPr>
          <w:rFonts w:ascii="Libre Baskerville" w:eastAsia="Times New Roman" w:hAnsi="Libre Baskerville" w:cs="Times New Roman"/>
          <w:color w:val="000000"/>
          <w:kern w:val="0"/>
          <w:sz w:val="27"/>
          <w:szCs w:val="27"/>
          <w:lang w:eastAsia="fr-FR"/>
          <w14:ligatures w14:val="none"/>
        </w:rPr>
        <w:t>.</w:t>
      </w:r>
    </w:p>
    <w:p w14:paraId="410560D7" w14:textId="77777777" w:rsidR="00903E1C" w:rsidRDefault="00903E1C" w:rsidP="00903E1C">
      <w:pPr>
        <w:spacing w:after="270" w:line="240" w:lineRule="auto"/>
        <w:textAlignment w:val="baseline"/>
        <w:rPr>
          <w:rFonts w:ascii="Libre Baskerville" w:eastAsia="Times New Roman" w:hAnsi="Libre Baskerville" w:cs="Times New Roman"/>
          <w:color w:val="000000"/>
          <w:kern w:val="0"/>
          <w:sz w:val="27"/>
          <w:szCs w:val="27"/>
          <w:lang w:eastAsia="fr-FR"/>
          <w14:ligatures w14:val="none"/>
        </w:rPr>
      </w:pPr>
    </w:p>
    <w:p w14:paraId="4E17FAA4" w14:textId="2A7371E6" w:rsidR="00903E1C" w:rsidRDefault="00903E1C" w:rsidP="00903E1C">
      <w:pPr>
        <w:spacing w:after="270" w:line="240" w:lineRule="auto"/>
        <w:textAlignment w:val="baseline"/>
        <w:rPr>
          <w:rFonts w:ascii="Libre Baskerville" w:eastAsia="Times New Roman" w:hAnsi="Libre Baskerville" w:cs="Times New Roman"/>
          <w:color w:val="000000"/>
          <w:kern w:val="0"/>
          <w:sz w:val="27"/>
          <w:szCs w:val="27"/>
          <w:lang w:eastAsia="fr-FR"/>
          <w14:ligatures w14:val="none"/>
        </w:rPr>
      </w:pPr>
      <w:r>
        <w:rPr>
          <w:rFonts w:ascii="Libre Baskerville" w:eastAsia="Times New Roman" w:hAnsi="Libre Baskerville" w:cs="Times New Roman"/>
          <w:color w:val="000000"/>
          <w:kern w:val="0"/>
          <w:sz w:val="27"/>
          <w:szCs w:val="27"/>
          <w:lang w:eastAsia="fr-FR"/>
          <w14:ligatures w14:val="none"/>
        </w:rPr>
        <w:t>INFOG 1</w:t>
      </w:r>
    </w:p>
    <w:p w14:paraId="5E2408B8" w14:textId="5805BABA" w:rsidR="00903E1C" w:rsidRDefault="00903E1C" w:rsidP="00903E1C">
      <w:pPr>
        <w:spacing w:after="270" w:line="240" w:lineRule="auto"/>
        <w:textAlignment w:val="baseline"/>
        <w:rPr>
          <w:rStyle w:val="license"/>
          <w:rFonts w:ascii="Helvetica Neue" w:hAnsi="Helvetica Neue"/>
          <w:color w:val="212121"/>
          <w:sz w:val="20"/>
          <w:szCs w:val="20"/>
          <w:bdr w:val="none" w:sz="0" w:space="0" w:color="auto" w:frame="1"/>
        </w:rPr>
      </w:pPr>
      <w:r>
        <w:rPr>
          <w:rStyle w:val="caption"/>
          <w:rFonts w:ascii="Helvetica Neue" w:hAnsi="Helvetica Neue"/>
          <w:color w:val="4B4B4E"/>
          <w:sz w:val="20"/>
          <w:szCs w:val="20"/>
          <w:bdr w:val="none" w:sz="0" w:space="0" w:color="auto" w:frame="1"/>
        </w:rPr>
        <w:t>Dates de vendanges en Bourgogne au 15ème siècle (1372-1500).</w:t>
      </w:r>
      <w:r>
        <w:rPr>
          <w:rStyle w:val="apple-converted-space"/>
          <w:rFonts w:ascii="Helvetica Neue" w:hAnsi="Helvetica Neue"/>
          <w:color w:val="4B4B4E"/>
          <w:sz w:val="20"/>
          <w:szCs w:val="20"/>
          <w:shd w:val="clear" w:color="auto" w:fill="FFFFFF"/>
        </w:rPr>
        <w:t> </w:t>
      </w:r>
      <w:hyperlink r:id="rId7" w:history="1">
        <w:r>
          <w:rPr>
            <w:rStyle w:val="Lienhypertexte"/>
            <w:rFonts w:ascii="Helvetica Neue" w:hAnsi="Helvetica Neue"/>
            <w:color w:val="4B4B4E"/>
            <w:sz w:val="20"/>
            <w:szCs w:val="20"/>
            <w:bdr w:val="none" w:sz="0" w:space="0" w:color="auto" w:frame="1"/>
          </w:rPr>
          <w:t>D’après Le Roy Ladurie (1983)</w:t>
        </w:r>
      </w:hyperlink>
      <w:r>
        <w:rPr>
          <w:rStyle w:val="attribution"/>
          <w:rFonts w:ascii="Helvetica Neue" w:hAnsi="Helvetica Neue"/>
          <w:color w:val="212121"/>
          <w:sz w:val="20"/>
          <w:szCs w:val="20"/>
          <w:bdr w:val="none" w:sz="0" w:space="0" w:color="auto" w:frame="1"/>
        </w:rPr>
        <w:t>.</w:t>
      </w:r>
      <w:r>
        <w:rPr>
          <w:rStyle w:val="apple-converted-space"/>
          <w:rFonts w:ascii="Helvetica Neue" w:hAnsi="Helvetica Neue"/>
          <w:color w:val="212121"/>
          <w:sz w:val="20"/>
          <w:szCs w:val="20"/>
          <w:bdr w:val="none" w:sz="0" w:space="0" w:color="auto" w:frame="1"/>
        </w:rPr>
        <w:t> </w:t>
      </w:r>
      <w:r>
        <w:rPr>
          <w:rStyle w:val="license"/>
          <w:rFonts w:ascii="Helvetica Neue" w:hAnsi="Helvetica Neue"/>
          <w:color w:val="212121"/>
          <w:sz w:val="20"/>
          <w:szCs w:val="20"/>
          <w:bdr w:val="none" w:sz="0" w:space="0" w:color="auto" w:frame="1"/>
        </w:rPr>
        <w:t>Fourni par l'auteur</w:t>
      </w:r>
      <w:r>
        <w:rPr>
          <w:rStyle w:val="license"/>
          <w:rFonts w:ascii="Helvetica Neue" w:hAnsi="Helvetica Neue"/>
          <w:color w:val="212121"/>
          <w:sz w:val="20"/>
          <w:szCs w:val="20"/>
          <w:bdr w:val="none" w:sz="0" w:space="0" w:color="auto" w:frame="1"/>
        </w:rPr>
        <w:t>.</w:t>
      </w:r>
    </w:p>
    <w:p w14:paraId="4A52939E" w14:textId="55FDB070" w:rsidR="00903E1C" w:rsidRDefault="00903E1C" w:rsidP="00903E1C">
      <w:pPr>
        <w:spacing w:after="270" w:line="240" w:lineRule="auto"/>
        <w:textAlignment w:val="baseline"/>
        <w:rPr>
          <w:rFonts w:ascii="Libre Baskerville" w:hAnsi="Libre Baskerville"/>
          <w:color w:val="000000"/>
          <w:sz w:val="27"/>
          <w:szCs w:val="27"/>
          <w:shd w:val="clear" w:color="auto" w:fill="FFFFFF"/>
        </w:rPr>
      </w:pPr>
      <w:r>
        <w:rPr>
          <w:rFonts w:ascii="Libre Baskerville" w:hAnsi="Libre Baskerville"/>
          <w:color w:val="000000"/>
          <w:sz w:val="27"/>
          <w:szCs w:val="27"/>
          <w:shd w:val="clear" w:color="auto" w:fill="FFFFFF"/>
        </w:rPr>
        <w:t>Cette série, longue d’environ 130 ans (de l’an 1372 à l’an 1500 pour être précis), indique une date moyenne de vendange à la fin du mois de septembre avec des variations d’un mois traduisant la variabilité annuelle du climat : les vendanges les plus précoces (début septembre) étant associées aux années les plus chaudes et/ou sèches et les plus tardives (fin octobre) associées à des années fraiches et/ou humides. Cette même série a été utilisée depuis pour</w:t>
      </w:r>
      <w:r>
        <w:rPr>
          <w:rStyle w:val="apple-converted-space"/>
          <w:rFonts w:ascii="Libre Baskerville" w:hAnsi="Libre Baskerville"/>
          <w:color w:val="000000"/>
          <w:sz w:val="27"/>
          <w:szCs w:val="27"/>
          <w:shd w:val="clear" w:color="auto" w:fill="FFFFFF"/>
        </w:rPr>
        <w:t> </w:t>
      </w:r>
      <w:hyperlink r:id="rId8" w:history="1">
        <w:r>
          <w:rPr>
            <w:rStyle w:val="Lienhypertexte"/>
            <w:rFonts w:ascii="Libre Baskerville" w:hAnsi="Libre Baskerville"/>
            <w:color w:val="4B4B4E"/>
            <w:sz w:val="27"/>
            <w:szCs w:val="27"/>
          </w:rPr>
          <w:t>reconstruire les variations passées des températures de l’été</w:t>
        </w:r>
      </w:hyperlink>
      <w:r>
        <w:rPr>
          <w:rFonts w:ascii="Libre Baskerville" w:hAnsi="Libre Baskerville"/>
          <w:color w:val="000000"/>
          <w:sz w:val="27"/>
          <w:szCs w:val="27"/>
          <w:shd w:val="clear" w:color="auto" w:fill="FFFFFF"/>
        </w:rPr>
        <w:t>. Plus évocateur, cette donnée figure aussi, aux côtés des dates de floraison du cerisier au Japon, dans le</w:t>
      </w:r>
      <w:r>
        <w:rPr>
          <w:rStyle w:val="apple-converted-space"/>
          <w:rFonts w:ascii="Libre Baskerville" w:hAnsi="Libre Baskerville"/>
          <w:color w:val="000000"/>
          <w:sz w:val="27"/>
          <w:szCs w:val="27"/>
          <w:shd w:val="clear" w:color="auto" w:fill="FFFFFF"/>
        </w:rPr>
        <w:t> </w:t>
      </w:r>
      <w:hyperlink r:id="rId9" w:history="1">
        <w:r>
          <w:rPr>
            <w:rStyle w:val="Lienhypertexte"/>
            <w:rFonts w:ascii="Libre Baskerville" w:hAnsi="Libre Baskerville"/>
            <w:color w:val="4B4B4E"/>
            <w:sz w:val="27"/>
            <w:szCs w:val="27"/>
          </w:rPr>
          <w:t>sixième rapport du GIEC</w:t>
        </w:r>
      </w:hyperlink>
      <w:r>
        <w:rPr>
          <w:rStyle w:val="apple-converted-space"/>
          <w:rFonts w:ascii="Libre Baskerville" w:hAnsi="Libre Baskerville"/>
          <w:color w:val="000000"/>
          <w:sz w:val="27"/>
          <w:szCs w:val="27"/>
          <w:shd w:val="clear" w:color="auto" w:fill="FFFFFF"/>
        </w:rPr>
        <w:t> </w:t>
      </w:r>
      <w:r>
        <w:rPr>
          <w:rFonts w:ascii="Libre Baskerville" w:hAnsi="Libre Baskerville"/>
          <w:color w:val="000000"/>
          <w:sz w:val="27"/>
          <w:szCs w:val="27"/>
          <w:shd w:val="clear" w:color="auto" w:fill="FFFFFF"/>
        </w:rPr>
        <w:t>parmi les indicateurs de changements globaux que peut révéler la végétation à l’échelle mondiale.</w:t>
      </w:r>
    </w:p>
    <w:p w14:paraId="750B9F6B" w14:textId="77777777" w:rsidR="00903E1C" w:rsidRDefault="00903E1C" w:rsidP="00903E1C">
      <w:pPr>
        <w:spacing w:after="270" w:line="240" w:lineRule="auto"/>
        <w:textAlignment w:val="baseline"/>
        <w:rPr>
          <w:rFonts w:ascii="Libre Baskerville" w:hAnsi="Libre Baskerville"/>
          <w:color w:val="000000"/>
          <w:sz w:val="27"/>
          <w:szCs w:val="27"/>
          <w:shd w:val="clear" w:color="auto" w:fill="FFFFFF"/>
        </w:rPr>
      </w:pPr>
    </w:p>
    <w:p w14:paraId="532A20AE" w14:textId="1447C860" w:rsidR="00903E1C" w:rsidRDefault="00903E1C" w:rsidP="00903E1C">
      <w:pPr>
        <w:spacing w:after="270" w:line="240" w:lineRule="auto"/>
        <w:textAlignment w:val="baseline"/>
        <w:rPr>
          <w:rFonts w:ascii="Libre Baskerville" w:hAnsi="Libre Baskerville"/>
          <w:color w:val="000000"/>
          <w:sz w:val="27"/>
          <w:szCs w:val="27"/>
          <w:shd w:val="clear" w:color="auto" w:fill="FFFFFF"/>
        </w:rPr>
      </w:pPr>
      <w:r>
        <w:rPr>
          <w:rFonts w:ascii="Libre Baskerville" w:hAnsi="Libre Baskerville"/>
          <w:color w:val="000000"/>
          <w:sz w:val="27"/>
          <w:szCs w:val="27"/>
          <w:shd w:val="clear" w:color="auto" w:fill="FFFFFF"/>
        </w:rPr>
        <w:t>INFOG 2</w:t>
      </w:r>
    </w:p>
    <w:p w14:paraId="352CF8A9" w14:textId="4E81C5F9" w:rsidR="00903E1C" w:rsidRDefault="00903E1C" w:rsidP="00903E1C">
      <w:pPr>
        <w:spacing w:after="270" w:line="240" w:lineRule="auto"/>
        <w:textAlignment w:val="baseline"/>
        <w:rPr>
          <w:rStyle w:val="license"/>
          <w:rFonts w:ascii="Helvetica Neue" w:hAnsi="Helvetica Neue"/>
          <w:color w:val="212121"/>
          <w:sz w:val="20"/>
          <w:szCs w:val="20"/>
          <w:bdr w:val="none" w:sz="0" w:space="0" w:color="auto" w:frame="1"/>
        </w:rPr>
      </w:pPr>
      <w:r>
        <w:rPr>
          <w:rStyle w:val="caption"/>
          <w:rFonts w:ascii="Helvetica Neue" w:hAnsi="Helvetica Neue"/>
          <w:color w:val="4B4B4E"/>
          <w:sz w:val="20"/>
          <w:szCs w:val="20"/>
          <w:bdr w:val="none" w:sz="0" w:space="0" w:color="auto" w:frame="1"/>
        </w:rPr>
        <w:t>Changement dans de longues séries végétatives : a) dates de pleine floraison du cerisier à Tokyo, Japon et b) dates de vendanges à Beaune, France.</w:t>
      </w:r>
      <w:r>
        <w:rPr>
          <w:rStyle w:val="apple-converted-space"/>
          <w:rFonts w:ascii="Helvetica Neue" w:hAnsi="Helvetica Neue"/>
          <w:color w:val="4B4B4E"/>
          <w:sz w:val="20"/>
          <w:szCs w:val="20"/>
          <w:shd w:val="clear" w:color="auto" w:fill="FFFFFF"/>
        </w:rPr>
        <w:t> </w:t>
      </w:r>
      <w:hyperlink r:id="rId10" w:history="1">
        <w:r>
          <w:rPr>
            <w:rStyle w:val="Lienhypertexte"/>
            <w:rFonts w:ascii="Helvetica Neue" w:hAnsi="Helvetica Neue"/>
            <w:color w:val="4B4B4E"/>
            <w:sz w:val="20"/>
            <w:szCs w:val="20"/>
            <w:bdr w:val="none" w:sz="0" w:space="0" w:color="auto" w:frame="1"/>
          </w:rPr>
          <w:t>Extrait du sixième rapport du GIEC</w:t>
        </w:r>
      </w:hyperlink>
      <w:r>
        <w:rPr>
          <w:rStyle w:val="attribution"/>
          <w:rFonts w:ascii="Helvetica Neue" w:hAnsi="Helvetica Neue"/>
          <w:color w:val="212121"/>
          <w:sz w:val="20"/>
          <w:szCs w:val="20"/>
          <w:bdr w:val="none" w:sz="0" w:space="0" w:color="auto" w:frame="1"/>
        </w:rPr>
        <w:t>,</w:t>
      </w:r>
      <w:r>
        <w:rPr>
          <w:rStyle w:val="apple-converted-space"/>
          <w:rFonts w:ascii="Helvetica Neue" w:hAnsi="Helvetica Neue"/>
          <w:color w:val="212121"/>
          <w:sz w:val="20"/>
          <w:szCs w:val="20"/>
          <w:bdr w:val="none" w:sz="0" w:space="0" w:color="auto" w:frame="1"/>
        </w:rPr>
        <w:t> </w:t>
      </w:r>
      <w:r>
        <w:rPr>
          <w:rStyle w:val="license"/>
          <w:rFonts w:ascii="Helvetica Neue" w:hAnsi="Helvetica Neue"/>
          <w:color w:val="212121"/>
          <w:sz w:val="20"/>
          <w:szCs w:val="20"/>
          <w:bdr w:val="none" w:sz="0" w:space="0" w:color="auto" w:frame="1"/>
        </w:rPr>
        <w:t>Fourni par l'auteur</w:t>
      </w:r>
      <w:r>
        <w:rPr>
          <w:rStyle w:val="license"/>
          <w:rFonts w:ascii="Helvetica Neue" w:hAnsi="Helvetica Neue"/>
          <w:color w:val="212121"/>
          <w:sz w:val="20"/>
          <w:szCs w:val="20"/>
          <w:bdr w:val="none" w:sz="0" w:space="0" w:color="auto" w:frame="1"/>
        </w:rPr>
        <w:t>.</w:t>
      </w:r>
    </w:p>
    <w:p w14:paraId="20C20638" w14:textId="77777777" w:rsidR="00903E1C" w:rsidRPr="00903E1C" w:rsidRDefault="00903E1C" w:rsidP="00903E1C">
      <w:pPr>
        <w:spacing w:after="180" w:line="240" w:lineRule="auto"/>
        <w:textAlignment w:val="baseline"/>
        <w:outlineLvl w:val="1"/>
        <w:rPr>
          <w:rFonts w:ascii="Libre Baskerville" w:eastAsia="Times New Roman" w:hAnsi="Libre Baskerville" w:cs="Times New Roman"/>
          <w:b/>
          <w:bCs/>
          <w:color w:val="000000"/>
          <w:kern w:val="0"/>
          <w:sz w:val="35"/>
          <w:szCs w:val="35"/>
          <w:lang w:eastAsia="fr-FR"/>
          <w14:ligatures w14:val="none"/>
        </w:rPr>
      </w:pPr>
      <w:r w:rsidRPr="00903E1C">
        <w:rPr>
          <w:rFonts w:ascii="Libre Baskerville" w:eastAsia="Times New Roman" w:hAnsi="Libre Baskerville" w:cs="Times New Roman"/>
          <w:b/>
          <w:bCs/>
          <w:color w:val="000000"/>
          <w:kern w:val="0"/>
          <w:sz w:val="35"/>
          <w:szCs w:val="35"/>
          <w:lang w:eastAsia="fr-FR"/>
          <w14:ligatures w14:val="none"/>
        </w:rPr>
        <w:t>Le changement climatique modifie les dates de vendanges</w:t>
      </w:r>
    </w:p>
    <w:p w14:paraId="4E7568A9" w14:textId="77777777" w:rsidR="00903E1C" w:rsidRPr="00903E1C" w:rsidRDefault="00903E1C" w:rsidP="00903E1C">
      <w:pPr>
        <w:spacing w:after="270" w:line="240" w:lineRule="auto"/>
        <w:textAlignment w:val="baseline"/>
        <w:rPr>
          <w:rFonts w:ascii="Libre Baskerville" w:eastAsia="Times New Roman" w:hAnsi="Libre Baskerville" w:cs="Times New Roman"/>
          <w:color w:val="000000"/>
          <w:kern w:val="0"/>
          <w:sz w:val="27"/>
          <w:szCs w:val="27"/>
          <w:lang w:eastAsia="fr-FR"/>
          <w14:ligatures w14:val="none"/>
        </w:rPr>
      </w:pPr>
      <w:r w:rsidRPr="00903E1C">
        <w:rPr>
          <w:rFonts w:ascii="Libre Baskerville" w:eastAsia="Times New Roman" w:hAnsi="Libre Baskerville" w:cs="Times New Roman"/>
          <w:color w:val="000000"/>
          <w:kern w:val="0"/>
          <w:sz w:val="27"/>
          <w:szCs w:val="27"/>
          <w:lang w:eastAsia="fr-FR"/>
          <w14:ligatures w14:val="none"/>
        </w:rPr>
        <w:t>Les dates de vendanges ont avancé en moyenne de 2 à 3 semaines au cours des 40 dernières années. Mais le réchauffement provoque une </w:t>
      </w:r>
      <w:hyperlink r:id="rId11" w:history="1">
        <w:r w:rsidRPr="00903E1C">
          <w:rPr>
            <w:rFonts w:ascii="Libre Baskerville" w:eastAsia="Times New Roman" w:hAnsi="Libre Baskerville" w:cs="Times New Roman"/>
            <w:color w:val="4B4B4E"/>
            <w:kern w:val="0"/>
            <w:sz w:val="27"/>
            <w:szCs w:val="27"/>
            <w:u w:val="single"/>
            <w:lang w:eastAsia="fr-FR"/>
            <w14:ligatures w14:val="none"/>
          </w:rPr>
          <w:t>avancée de tous les stades</w:t>
        </w:r>
      </w:hyperlink>
      <w:r w:rsidRPr="00903E1C">
        <w:rPr>
          <w:rFonts w:ascii="Libre Baskerville" w:eastAsia="Times New Roman" w:hAnsi="Libre Baskerville" w:cs="Times New Roman"/>
          <w:color w:val="000000"/>
          <w:kern w:val="0"/>
          <w:sz w:val="27"/>
          <w:szCs w:val="27"/>
          <w:lang w:eastAsia="fr-FR"/>
          <w14:ligatures w14:val="none"/>
        </w:rPr>
        <w:t xml:space="preserve"> de croissance de la vigne et de maturation des raisins et non sans </w:t>
      </w:r>
      <w:r w:rsidRPr="00903E1C">
        <w:rPr>
          <w:rFonts w:ascii="Libre Baskerville" w:eastAsia="Times New Roman" w:hAnsi="Libre Baskerville" w:cs="Times New Roman"/>
          <w:color w:val="000000"/>
          <w:kern w:val="0"/>
          <w:sz w:val="27"/>
          <w:szCs w:val="27"/>
          <w:lang w:eastAsia="fr-FR"/>
          <w14:ligatures w14:val="none"/>
        </w:rPr>
        <w:lastRenderedPageBreak/>
        <w:t>conséquences. La sortie plus précoce des premiers bourgeons que génère le réchauffement va augmenter la vulnérabilité de la plante face au gel qui peut toujours intervenir. C’est d’ailleurs le risque climatique qui génère le plus </w:t>
      </w:r>
      <w:hyperlink r:id="rId12" w:history="1">
        <w:r w:rsidRPr="00903E1C">
          <w:rPr>
            <w:rFonts w:ascii="Libre Baskerville" w:eastAsia="Times New Roman" w:hAnsi="Libre Baskerville" w:cs="Times New Roman"/>
            <w:color w:val="4B4B4E"/>
            <w:kern w:val="0"/>
            <w:sz w:val="27"/>
            <w:szCs w:val="27"/>
            <w:u w:val="single"/>
            <w:lang w:eastAsia="fr-FR"/>
            <w14:ligatures w14:val="none"/>
          </w:rPr>
          <w:t>d’inquiétude chez les viticulteurs</w:t>
        </w:r>
      </w:hyperlink>
      <w:r w:rsidRPr="00903E1C">
        <w:rPr>
          <w:rFonts w:ascii="Libre Baskerville" w:eastAsia="Times New Roman" w:hAnsi="Libre Baskerville" w:cs="Times New Roman"/>
          <w:color w:val="000000"/>
          <w:kern w:val="0"/>
          <w:sz w:val="27"/>
          <w:szCs w:val="27"/>
          <w:lang w:eastAsia="fr-FR"/>
          <w14:ligatures w14:val="none"/>
        </w:rPr>
        <w:t>. La période de maturation des raisins (qui correspond au mois qui précède les vendanges) qui, elle, est décalée sur une période plus chaude (août au lieu de septembre) va entraîner une modification de la composition des raisins et donc des vins. Ainsi, la </w:t>
      </w:r>
      <w:hyperlink r:id="rId13" w:history="1">
        <w:r w:rsidRPr="00903E1C">
          <w:rPr>
            <w:rFonts w:ascii="Libre Baskerville" w:eastAsia="Times New Roman" w:hAnsi="Libre Baskerville" w:cs="Times New Roman"/>
            <w:color w:val="4B4B4E"/>
            <w:kern w:val="0"/>
            <w:sz w:val="27"/>
            <w:szCs w:val="27"/>
            <w:u w:val="single"/>
            <w:lang w:eastAsia="fr-FR"/>
            <w14:ligatures w14:val="none"/>
          </w:rPr>
          <w:t>teneur en alcool potentiel qui augmente et l’acidité qui baisse</w:t>
        </w:r>
      </w:hyperlink>
      <w:r w:rsidRPr="00903E1C">
        <w:rPr>
          <w:rFonts w:ascii="Libre Baskerville" w:eastAsia="Times New Roman" w:hAnsi="Libre Baskerville" w:cs="Times New Roman"/>
          <w:color w:val="000000"/>
          <w:kern w:val="0"/>
          <w:sz w:val="27"/>
          <w:szCs w:val="27"/>
          <w:lang w:eastAsia="fr-FR"/>
          <w14:ligatures w14:val="none"/>
        </w:rPr>
        <w:t> fragilisent la structure, l’équilibre aromatique des vins et leur conservation.</w:t>
      </w:r>
    </w:p>
    <w:p w14:paraId="1CB8553C" w14:textId="4175D701" w:rsidR="00903E1C" w:rsidRDefault="00903E1C" w:rsidP="00903E1C">
      <w:pPr>
        <w:spacing w:after="270" w:line="240" w:lineRule="auto"/>
        <w:textAlignment w:val="baseline"/>
        <w:rPr>
          <w:rFonts w:ascii="Helvetica Neue" w:hAnsi="Helvetica Neue"/>
          <w:color w:val="212121"/>
          <w:sz w:val="20"/>
          <w:szCs w:val="20"/>
          <w:bdr w:val="none" w:sz="0" w:space="0" w:color="auto" w:frame="1"/>
        </w:rPr>
      </w:pPr>
      <w:r>
        <w:rPr>
          <w:rFonts w:ascii="Helvetica Neue" w:hAnsi="Helvetica Neue"/>
          <w:color w:val="212121"/>
          <w:sz w:val="20"/>
          <w:szCs w:val="20"/>
          <w:bdr w:val="none" w:sz="0" w:space="0" w:color="auto" w:frame="1"/>
        </w:rPr>
        <w:t>INFOG 3</w:t>
      </w:r>
    </w:p>
    <w:p w14:paraId="5808796E" w14:textId="0C95A514" w:rsidR="00903E1C" w:rsidRDefault="00903E1C" w:rsidP="00903E1C">
      <w:pPr>
        <w:spacing w:after="270" w:line="240" w:lineRule="auto"/>
        <w:textAlignment w:val="baseline"/>
        <w:rPr>
          <w:rStyle w:val="license"/>
          <w:rFonts w:ascii="Helvetica Neue" w:hAnsi="Helvetica Neue"/>
          <w:color w:val="212121"/>
          <w:sz w:val="20"/>
          <w:szCs w:val="20"/>
          <w:bdr w:val="none" w:sz="0" w:space="0" w:color="auto" w:frame="1"/>
        </w:rPr>
      </w:pPr>
      <w:r>
        <w:rPr>
          <w:rStyle w:val="caption"/>
          <w:rFonts w:ascii="Helvetica Neue" w:hAnsi="Helvetica Neue"/>
          <w:color w:val="4B4B4E"/>
          <w:sz w:val="20"/>
          <w:szCs w:val="20"/>
          <w:bdr w:val="none" w:sz="0" w:space="0" w:color="auto" w:frame="1"/>
        </w:rPr>
        <w:t>Effets observés sur la vigne (dates des vendanges) et la composition des raisins et des vins.</w:t>
      </w:r>
      <w:r>
        <w:rPr>
          <w:rStyle w:val="apple-converted-space"/>
          <w:rFonts w:ascii="Helvetica Neue" w:hAnsi="Helvetica Neue"/>
          <w:color w:val="4B4B4E"/>
          <w:sz w:val="20"/>
          <w:szCs w:val="20"/>
          <w:shd w:val="clear" w:color="auto" w:fill="FFFFFF"/>
        </w:rPr>
        <w:t> </w:t>
      </w:r>
      <w:hyperlink r:id="rId14" w:history="1">
        <w:r>
          <w:rPr>
            <w:rStyle w:val="Lienhypertexte"/>
            <w:rFonts w:ascii="Helvetica Neue" w:hAnsi="Helvetica Neue"/>
            <w:color w:val="4B4B4E"/>
            <w:sz w:val="20"/>
            <w:szCs w:val="20"/>
            <w:bdr w:val="none" w:sz="0" w:space="0" w:color="auto" w:frame="1"/>
          </w:rPr>
          <w:t>Extrait des résultats du projet LACCAVE</w:t>
        </w:r>
      </w:hyperlink>
      <w:r>
        <w:rPr>
          <w:rStyle w:val="attribution"/>
          <w:rFonts w:ascii="Helvetica Neue" w:hAnsi="Helvetica Neue"/>
          <w:color w:val="212121"/>
          <w:sz w:val="20"/>
          <w:szCs w:val="20"/>
          <w:bdr w:val="none" w:sz="0" w:space="0" w:color="auto" w:frame="1"/>
        </w:rPr>
        <w:t>.</w:t>
      </w:r>
      <w:r>
        <w:rPr>
          <w:rStyle w:val="apple-converted-space"/>
          <w:rFonts w:ascii="Helvetica Neue" w:hAnsi="Helvetica Neue"/>
          <w:color w:val="212121"/>
          <w:sz w:val="20"/>
          <w:szCs w:val="20"/>
          <w:bdr w:val="none" w:sz="0" w:space="0" w:color="auto" w:frame="1"/>
        </w:rPr>
        <w:t> </w:t>
      </w:r>
      <w:r>
        <w:rPr>
          <w:rStyle w:val="license"/>
          <w:rFonts w:ascii="Helvetica Neue" w:hAnsi="Helvetica Neue"/>
          <w:color w:val="212121"/>
          <w:sz w:val="20"/>
          <w:szCs w:val="20"/>
          <w:bdr w:val="none" w:sz="0" w:space="0" w:color="auto" w:frame="1"/>
        </w:rPr>
        <w:t>Fourni par l'auteur</w:t>
      </w:r>
      <w:r>
        <w:rPr>
          <w:rStyle w:val="license"/>
          <w:rFonts w:ascii="Helvetica Neue" w:hAnsi="Helvetica Neue"/>
          <w:color w:val="212121"/>
          <w:sz w:val="20"/>
          <w:szCs w:val="20"/>
          <w:bdr w:val="none" w:sz="0" w:space="0" w:color="auto" w:frame="1"/>
        </w:rPr>
        <w:t>.</w:t>
      </w:r>
    </w:p>
    <w:p w14:paraId="2005C93A" w14:textId="77777777" w:rsidR="00A92B13" w:rsidRDefault="00A92B13" w:rsidP="00A92B13">
      <w:pPr>
        <w:pStyle w:val="NormalWeb"/>
        <w:spacing w:before="0" w:beforeAutospacing="0" w:after="270" w:afterAutospacing="0"/>
        <w:textAlignment w:val="baseline"/>
        <w:rPr>
          <w:rFonts w:ascii="Libre Baskerville" w:hAnsi="Libre Baskerville"/>
          <w:color w:val="000000"/>
          <w:sz w:val="27"/>
          <w:szCs w:val="27"/>
        </w:rPr>
      </w:pPr>
      <w:r>
        <w:rPr>
          <w:rFonts w:ascii="Libre Baskerville" w:hAnsi="Libre Baskerville"/>
          <w:color w:val="000000"/>
          <w:sz w:val="27"/>
          <w:szCs w:val="27"/>
        </w:rPr>
        <w:t>Des</w:t>
      </w:r>
      <w:r>
        <w:rPr>
          <w:rStyle w:val="apple-converted-space"/>
          <w:rFonts w:ascii="Libre Baskerville" w:eastAsiaTheme="majorEastAsia" w:hAnsi="Libre Baskerville"/>
          <w:color w:val="000000"/>
          <w:sz w:val="27"/>
          <w:szCs w:val="27"/>
        </w:rPr>
        <w:t> </w:t>
      </w:r>
      <w:hyperlink r:id="rId15" w:history="1">
        <w:r>
          <w:rPr>
            <w:rStyle w:val="Lienhypertexte"/>
            <w:rFonts w:ascii="Libre Baskerville" w:eastAsiaTheme="majorEastAsia" w:hAnsi="Libre Baskerville"/>
            <w:color w:val="4B4B4E"/>
            <w:sz w:val="27"/>
            <w:szCs w:val="27"/>
          </w:rPr>
          <w:t>stratégies d’adaptation</w:t>
        </w:r>
      </w:hyperlink>
      <w:r>
        <w:rPr>
          <w:rStyle w:val="apple-converted-space"/>
          <w:rFonts w:ascii="Libre Baskerville" w:eastAsiaTheme="majorEastAsia" w:hAnsi="Libre Baskerville"/>
          <w:color w:val="000000"/>
          <w:sz w:val="27"/>
          <w:szCs w:val="27"/>
        </w:rPr>
        <w:t> </w:t>
      </w:r>
      <w:r>
        <w:rPr>
          <w:rFonts w:ascii="Libre Baskerville" w:hAnsi="Libre Baskerville"/>
          <w:color w:val="000000"/>
          <w:sz w:val="27"/>
          <w:szCs w:val="27"/>
        </w:rPr>
        <w:t>à des températures plus élevées existent mais</w:t>
      </w:r>
      <w:r>
        <w:rPr>
          <w:rStyle w:val="apple-converted-space"/>
          <w:rFonts w:ascii="Libre Baskerville" w:eastAsiaTheme="majorEastAsia" w:hAnsi="Libre Baskerville"/>
          <w:color w:val="000000"/>
          <w:sz w:val="27"/>
          <w:szCs w:val="27"/>
        </w:rPr>
        <w:t> </w:t>
      </w:r>
      <w:hyperlink r:id="rId16" w:history="1">
        <w:r>
          <w:rPr>
            <w:rStyle w:val="Lienhypertexte"/>
            <w:rFonts w:ascii="Libre Baskerville" w:eastAsiaTheme="majorEastAsia" w:hAnsi="Libre Baskerville"/>
            <w:color w:val="4B4B4E"/>
            <w:sz w:val="27"/>
            <w:szCs w:val="27"/>
          </w:rPr>
          <w:t>jusqu’à un certain niveau de réchauffement</w:t>
        </w:r>
      </w:hyperlink>
      <w:r>
        <w:rPr>
          <w:rFonts w:ascii="Libre Baskerville" w:hAnsi="Libre Baskerville"/>
          <w:color w:val="000000"/>
          <w:sz w:val="27"/>
          <w:szCs w:val="27"/>
        </w:rPr>
        <w:t xml:space="preserve">. C’est par exemple le changement de matériel végétal (porte-greffes et cépages avec une maturité plus tardive, plus tolérants à la sécheresse et la chaleur…), le changement de pratiques viticoles pour favoriser la résilience des vignes (enherbement entre les rangs, allègement de la densité de plantation, agroécologie…) ou encore l’ajustement de processus œnologiques (choix des levures de fermentation, utilisation de techniques de </w:t>
      </w:r>
      <w:proofErr w:type="spellStart"/>
      <w:r>
        <w:rPr>
          <w:rFonts w:ascii="Libre Baskerville" w:hAnsi="Libre Baskerville"/>
          <w:color w:val="000000"/>
          <w:sz w:val="27"/>
          <w:szCs w:val="27"/>
        </w:rPr>
        <w:t>désalcoolisation</w:t>
      </w:r>
      <w:proofErr w:type="spellEnd"/>
      <w:r>
        <w:rPr>
          <w:rFonts w:ascii="Libre Baskerville" w:hAnsi="Libre Baskerville"/>
          <w:color w:val="000000"/>
          <w:sz w:val="27"/>
          <w:szCs w:val="27"/>
        </w:rPr>
        <w:t xml:space="preserve"> ou d’acidification…). Une stratégie d’adaptation dite</w:t>
      </w:r>
      <w:r>
        <w:rPr>
          <w:rStyle w:val="apple-converted-space"/>
          <w:rFonts w:ascii="Libre Baskerville" w:eastAsiaTheme="majorEastAsia" w:hAnsi="Libre Baskerville"/>
          <w:color w:val="000000"/>
          <w:sz w:val="27"/>
          <w:szCs w:val="27"/>
        </w:rPr>
        <w:t> </w:t>
      </w:r>
      <w:hyperlink r:id="rId17" w:history="1">
        <w:r>
          <w:rPr>
            <w:rStyle w:val="Lienhypertexte"/>
            <w:rFonts w:ascii="Libre Baskerville" w:eastAsiaTheme="majorEastAsia" w:hAnsi="Libre Baskerville"/>
            <w:color w:val="4B4B4E"/>
            <w:sz w:val="27"/>
            <w:szCs w:val="27"/>
          </w:rPr>
          <w:t>« nomade »</w:t>
        </w:r>
      </w:hyperlink>
      <w:r>
        <w:rPr>
          <w:rStyle w:val="apple-converted-space"/>
          <w:rFonts w:ascii="Libre Baskerville" w:eastAsiaTheme="majorEastAsia" w:hAnsi="Libre Baskerville"/>
          <w:color w:val="000000"/>
          <w:sz w:val="27"/>
          <w:szCs w:val="27"/>
        </w:rPr>
        <w:t> </w:t>
      </w:r>
      <w:r>
        <w:rPr>
          <w:rFonts w:ascii="Libre Baskerville" w:hAnsi="Libre Baskerville"/>
          <w:color w:val="000000"/>
          <w:sz w:val="27"/>
          <w:szCs w:val="27"/>
        </w:rPr>
        <w:t>fait aussi évoluer les plantations de vignes plus en altitude, sur les versants nord (ou sud pour l’hémisphère sud) ou en direction de la mer ou de l’océan pour trouver de la fraîcheur.</w:t>
      </w:r>
    </w:p>
    <w:p w14:paraId="19056D4C" w14:textId="77777777" w:rsidR="00A92B13" w:rsidRDefault="00A92B13" w:rsidP="00A92B13">
      <w:pPr>
        <w:pStyle w:val="NormalWeb"/>
        <w:spacing w:before="0" w:beforeAutospacing="0" w:after="270" w:afterAutospacing="0"/>
        <w:textAlignment w:val="baseline"/>
        <w:rPr>
          <w:rFonts w:ascii="Libre Baskerville" w:hAnsi="Libre Baskerville"/>
          <w:color w:val="000000"/>
          <w:sz w:val="27"/>
          <w:szCs w:val="27"/>
        </w:rPr>
      </w:pPr>
      <w:r>
        <w:rPr>
          <w:rFonts w:ascii="Libre Baskerville" w:hAnsi="Libre Baskerville"/>
          <w:color w:val="000000"/>
          <w:sz w:val="27"/>
          <w:szCs w:val="27"/>
        </w:rPr>
        <w:t>Selon les projections climatiques (variant selon les</w:t>
      </w:r>
      <w:r>
        <w:rPr>
          <w:rStyle w:val="apple-converted-space"/>
          <w:rFonts w:ascii="Libre Baskerville" w:eastAsiaTheme="majorEastAsia" w:hAnsi="Libre Baskerville"/>
          <w:color w:val="000000"/>
          <w:sz w:val="27"/>
          <w:szCs w:val="27"/>
        </w:rPr>
        <w:t> </w:t>
      </w:r>
      <w:hyperlink r:id="rId18" w:history="1">
        <w:r>
          <w:rPr>
            <w:rStyle w:val="Lienhypertexte"/>
            <w:rFonts w:ascii="Libre Baskerville" w:eastAsiaTheme="majorEastAsia" w:hAnsi="Libre Baskerville"/>
            <w:color w:val="4B4B4E"/>
            <w:sz w:val="27"/>
            <w:szCs w:val="27"/>
          </w:rPr>
          <w:t>scénarios d’émissions de gaz à effet de serre</w:t>
        </w:r>
      </w:hyperlink>
      <w:r>
        <w:rPr>
          <w:rStyle w:val="apple-converted-space"/>
          <w:rFonts w:ascii="Libre Baskerville" w:eastAsiaTheme="majorEastAsia" w:hAnsi="Libre Baskerville"/>
          <w:color w:val="000000"/>
          <w:sz w:val="27"/>
          <w:szCs w:val="27"/>
        </w:rPr>
        <w:t> </w:t>
      </w:r>
      <w:r>
        <w:rPr>
          <w:rFonts w:ascii="Libre Baskerville" w:hAnsi="Libre Baskerville"/>
          <w:color w:val="000000"/>
          <w:sz w:val="27"/>
          <w:szCs w:val="27"/>
        </w:rPr>
        <w:t>et les horizons temporels), certaines régions seront particulièrement éprouvées tandis que d’autres pourraient</w:t>
      </w:r>
      <w:r>
        <w:rPr>
          <w:rStyle w:val="apple-converted-space"/>
          <w:rFonts w:ascii="Libre Baskerville" w:eastAsiaTheme="majorEastAsia" w:hAnsi="Libre Baskerville"/>
          <w:color w:val="000000"/>
          <w:sz w:val="27"/>
          <w:szCs w:val="27"/>
        </w:rPr>
        <w:t> </w:t>
      </w:r>
      <w:hyperlink r:id="rId19" w:history="1">
        <w:r>
          <w:rPr>
            <w:rStyle w:val="Lienhypertexte"/>
            <w:rFonts w:ascii="Libre Baskerville" w:eastAsiaTheme="majorEastAsia" w:hAnsi="Libre Baskerville"/>
            <w:color w:val="4B4B4E"/>
            <w:sz w:val="27"/>
            <w:szCs w:val="27"/>
          </w:rPr>
          <w:t>émerger</w:t>
        </w:r>
      </w:hyperlink>
      <w:r>
        <w:rPr>
          <w:rFonts w:ascii="Libre Baskerville" w:hAnsi="Libre Baskerville"/>
          <w:color w:val="000000"/>
          <w:sz w:val="27"/>
          <w:szCs w:val="27"/>
        </w:rPr>
        <w:t xml:space="preserve">. En France, certains vignobles du sud de la France enregistrent de plus en plus fréquemment des températures supérieures à 30 °C </w:t>
      </w:r>
      <w:proofErr w:type="spellStart"/>
      <w:r>
        <w:rPr>
          <w:rFonts w:ascii="Libre Baskerville" w:hAnsi="Libre Baskerville"/>
          <w:color w:val="000000"/>
          <w:sz w:val="27"/>
          <w:szCs w:val="27"/>
        </w:rPr>
        <w:t>voire</w:t>
      </w:r>
      <w:proofErr w:type="spellEnd"/>
      <w:r>
        <w:rPr>
          <w:rFonts w:ascii="Libre Baskerville" w:hAnsi="Libre Baskerville"/>
          <w:color w:val="000000"/>
          <w:sz w:val="27"/>
          <w:szCs w:val="27"/>
        </w:rPr>
        <w:t xml:space="preserve"> 35 °C qui constituent un seuil thermique de stress extrême pour la vigne perturbant le bon fonctionnement physiologique, en provoquant notamment un</w:t>
      </w:r>
      <w:r>
        <w:rPr>
          <w:rStyle w:val="apple-converted-space"/>
          <w:rFonts w:ascii="Libre Baskerville" w:eastAsiaTheme="majorEastAsia" w:hAnsi="Libre Baskerville"/>
          <w:color w:val="000000"/>
          <w:sz w:val="27"/>
          <w:szCs w:val="27"/>
        </w:rPr>
        <w:t> </w:t>
      </w:r>
      <w:hyperlink r:id="rId20" w:history="1">
        <w:r>
          <w:rPr>
            <w:rStyle w:val="Lienhypertexte"/>
            <w:rFonts w:ascii="Libre Baskerville" w:eastAsiaTheme="majorEastAsia" w:hAnsi="Libre Baskerville"/>
            <w:color w:val="4B4B4E"/>
            <w:sz w:val="27"/>
            <w:szCs w:val="27"/>
          </w:rPr>
          <w:t>blocage de maturité</w:t>
        </w:r>
      </w:hyperlink>
      <w:r>
        <w:rPr>
          <w:rStyle w:val="apple-converted-space"/>
          <w:rFonts w:ascii="Libre Baskerville" w:eastAsiaTheme="majorEastAsia" w:hAnsi="Libre Baskerville"/>
          <w:color w:val="000000"/>
          <w:sz w:val="27"/>
          <w:szCs w:val="27"/>
        </w:rPr>
        <w:t> </w:t>
      </w:r>
      <w:r>
        <w:rPr>
          <w:rFonts w:ascii="Libre Baskerville" w:hAnsi="Libre Baskerville"/>
          <w:color w:val="000000"/>
          <w:sz w:val="27"/>
          <w:szCs w:val="27"/>
        </w:rPr>
        <w:t>comme ce fut le cas en 2022. Soulignons d’après les projections issues d’un scénario à « émissions intermédiaires », que</w:t>
      </w:r>
      <w:r>
        <w:rPr>
          <w:rStyle w:val="apple-converted-space"/>
          <w:rFonts w:ascii="Libre Baskerville" w:eastAsiaTheme="majorEastAsia" w:hAnsi="Libre Baskerville"/>
          <w:color w:val="000000"/>
          <w:sz w:val="27"/>
          <w:szCs w:val="27"/>
        </w:rPr>
        <w:t> </w:t>
      </w:r>
      <w:hyperlink r:id="rId21" w:history="1">
        <w:r>
          <w:rPr>
            <w:rStyle w:val="Lienhypertexte"/>
            <w:rFonts w:ascii="Libre Baskerville" w:eastAsiaTheme="majorEastAsia" w:hAnsi="Libre Baskerville"/>
            <w:color w:val="4B4B4E"/>
            <w:sz w:val="27"/>
            <w:szCs w:val="27"/>
          </w:rPr>
          <w:t>l’année 2022 sera une année climatique « moyenne » à l’horizon 2060</w:t>
        </w:r>
      </w:hyperlink>
      <w:r>
        <w:rPr>
          <w:rFonts w:ascii="Libre Baskerville" w:hAnsi="Libre Baskerville"/>
          <w:color w:val="000000"/>
          <w:sz w:val="27"/>
          <w:szCs w:val="27"/>
        </w:rPr>
        <w:t xml:space="preserve">. En revanche le réchauffement </w:t>
      </w:r>
      <w:r>
        <w:rPr>
          <w:rFonts w:ascii="Libre Baskerville" w:hAnsi="Libre Baskerville"/>
          <w:color w:val="000000"/>
          <w:sz w:val="27"/>
          <w:szCs w:val="27"/>
        </w:rPr>
        <w:lastRenderedPageBreak/>
        <w:t>favorise une migration des aires climatiques propices à la viticulture vers le nord dans l’hémisphère nord ou vers le sud dans l’hémisphère sud.</w:t>
      </w:r>
    </w:p>
    <w:p w14:paraId="3B9881B2" w14:textId="5F573718" w:rsidR="00A92B13" w:rsidRDefault="00FD311D" w:rsidP="00A92B13">
      <w:pPr>
        <w:pStyle w:val="NormalWeb"/>
        <w:spacing w:before="0" w:beforeAutospacing="0" w:after="270" w:afterAutospacing="0"/>
        <w:textAlignment w:val="baseline"/>
        <w:rPr>
          <w:rFonts w:ascii="Libre Baskerville" w:hAnsi="Libre Baskerville"/>
          <w:color w:val="000000"/>
          <w:sz w:val="27"/>
          <w:szCs w:val="27"/>
        </w:rPr>
      </w:pPr>
      <w:r>
        <w:rPr>
          <w:rFonts w:ascii="Libre Baskerville" w:hAnsi="Libre Baskerville"/>
          <w:color w:val="000000"/>
          <w:sz w:val="27"/>
          <w:szCs w:val="27"/>
        </w:rPr>
        <w:t>INFOG 4</w:t>
      </w:r>
    </w:p>
    <w:p w14:paraId="011CA71E" w14:textId="1EDF766B" w:rsidR="00FD311D" w:rsidRDefault="00FD311D" w:rsidP="00A92B13">
      <w:pPr>
        <w:pStyle w:val="NormalWeb"/>
        <w:spacing w:before="0" w:beforeAutospacing="0" w:after="270" w:afterAutospacing="0"/>
        <w:textAlignment w:val="baseline"/>
        <w:rPr>
          <w:rStyle w:val="license"/>
          <w:rFonts w:ascii="Helvetica Neue" w:eastAsiaTheme="majorEastAsia" w:hAnsi="Helvetica Neue"/>
          <w:color w:val="212121"/>
          <w:sz w:val="20"/>
          <w:szCs w:val="20"/>
          <w:bdr w:val="none" w:sz="0" w:space="0" w:color="auto" w:frame="1"/>
        </w:rPr>
      </w:pPr>
      <w:proofErr w:type="spellStart"/>
      <w:r>
        <w:rPr>
          <w:rStyle w:val="caption"/>
          <w:rFonts w:ascii="Helvetica Neue" w:eastAsiaTheme="majorEastAsia" w:hAnsi="Helvetica Neue"/>
          <w:color w:val="4B4B4E"/>
          <w:sz w:val="20"/>
          <w:szCs w:val="20"/>
          <w:bdr w:val="none" w:sz="0" w:space="0" w:color="auto" w:frame="1"/>
        </w:rPr>
        <w:t>Emergence</w:t>
      </w:r>
      <w:proofErr w:type="spellEnd"/>
      <w:r>
        <w:rPr>
          <w:rStyle w:val="caption"/>
          <w:rFonts w:ascii="Helvetica Neue" w:eastAsiaTheme="majorEastAsia" w:hAnsi="Helvetica Neue"/>
          <w:color w:val="4B4B4E"/>
          <w:sz w:val="20"/>
          <w:szCs w:val="20"/>
          <w:bdr w:val="none" w:sz="0" w:space="0" w:color="auto" w:frame="1"/>
        </w:rPr>
        <w:t xml:space="preserve"> de nouvelles régions viticoles (en bleu) d’après les simulations de 17 modèles climatiques globaux sous les conditions du scénario RCP8.5.</w:t>
      </w:r>
      <w:r>
        <w:rPr>
          <w:rStyle w:val="apple-converted-space"/>
          <w:rFonts w:ascii="Helvetica Neue" w:eastAsiaTheme="majorEastAsia" w:hAnsi="Helvetica Neue"/>
          <w:color w:val="4B4B4E"/>
          <w:sz w:val="20"/>
          <w:szCs w:val="20"/>
          <w:shd w:val="clear" w:color="auto" w:fill="FFFFFF"/>
        </w:rPr>
        <w:t> </w:t>
      </w:r>
      <w:hyperlink r:id="rId22" w:history="1">
        <w:r>
          <w:rPr>
            <w:rStyle w:val="Lienhypertexte"/>
            <w:rFonts w:ascii="Helvetica Neue" w:eastAsiaTheme="majorEastAsia" w:hAnsi="Helvetica Neue"/>
            <w:color w:val="4B4B4E"/>
            <w:sz w:val="20"/>
            <w:szCs w:val="20"/>
            <w:bdr w:val="none" w:sz="0" w:space="0" w:color="auto" w:frame="1"/>
          </w:rPr>
          <w:t>D’après Hannah et coll., 2013</w:t>
        </w:r>
      </w:hyperlink>
      <w:r>
        <w:rPr>
          <w:rStyle w:val="attribution"/>
          <w:rFonts w:ascii="Helvetica Neue" w:eastAsiaTheme="majorEastAsia" w:hAnsi="Helvetica Neue"/>
          <w:color w:val="212121"/>
          <w:sz w:val="20"/>
          <w:szCs w:val="20"/>
          <w:bdr w:val="none" w:sz="0" w:space="0" w:color="auto" w:frame="1"/>
        </w:rPr>
        <w:t xml:space="preserve">. </w:t>
      </w:r>
      <w:r>
        <w:rPr>
          <w:rStyle w:val="license"/>
          <w:rFonts w:ascii="Helvetica Neue" w:eastAsiaTheme="majorEastAsia" w:hAnsi="Helvetica Neue"/>
          <w:color w:val="212121"/>
          <w:sz w:val="20"/>
          <w:szCs w:val="20"/>
          <w:bdr w:val="none" w:sz="0" w:space="0" w:color="auto" w:frame="1"/>
        </w:rPr>
        <w:t>Fourni par l'auteur</w:t>
      </w:r>
      <w:r>
        <w:rPr>
          <w:rStyle w:val="license"/>
          <w:rFonts w:ascii="Helvetica Neue" w:eastAsiaTheme="majorEastAsia" w:hAnsi="Helvetica Neue"/>
          <w:color w:val="212121"/>
          <w:sz w:val="20"/>
          <w:szCs w:val="20"/>
          <w:bdr w:val="none" w:sz="0" w:space="0" w:color="auto" w:frame="1"/>
        </w:rPr>
        <w:t>.</w:t>
      </w:r>
    </w:p>
    <w:p w14:paraId="4B090235" w14:textId="77777777" w:rsidR="00FD311D" w:rsidRPr="00FD311D" w:rsidRDefault="00FD311D" w:rsidP="00FD311D">
      <w:pPr>
        <w:spacing w:after="180" w:line="240" w:lineRule="auto"/>
        <w:textAlignment w:val="baseline"/>
        <w:outlineLvl w:val="1"/>
        <w:rPr>
          <w:rFonts w:ascii="Libre Baskerville" w:eastAsia="Times New Roman" w:hAnsi="Libre Baskerville" w:cs="Times New Roman"/>
          <w:b/>
          <w:bCs/>
          <w:color w:val="000000"/>
          <w:kern w:val="0"/>
          <w:sz w:val="35"/>
          <w:szCs w:val="35"/>
          <w:lang w:eastAsia="fr-FR"/>
          <w14:ligatures w14:val="none"/>
        </w:rPr>
      </w:pPr>
      <w:r w:rsidRPr="00FD311D">
        <w:rPr>
          <w:rFonts w:ascii="Libre Baskerville" w:eastAsia="Times New Roman" w:hAnsi="Libre Baskerville" w:cs="Times New Roman"/>
          <w:b/>
          <w:bCs/>
          <w:color w:val="000000"/>
          <w:kern w:val="0"/>
          <w:sz w:val="35"/>
          <w:szCs w:val="35"/>
          <w:lang w:eastAsia="fr-FR"/>
          <w14:ligatures w14:val="none"/>
        </w:rPr>
        <w:t>Vigne en Bretagne : marqueur régional de l’ampleur du changement climatique</w:t>
      </w:r>
    </w:p>
    <w:p w14:paraId="33A68073" w14:textId="77777777" w:rsidR="00FD311D" w:rsidRPr="00FD311D" w:rsidRDefault="00FD311D" w:rsidP="00FD311D">
      <w:pPr>
        <w:spacing w:after="270" w:line="240" w:lineRule="auto"/>
        <w:textAlignment w:val="baseline"/>
        <w:rPr>
          <w:rFonts w:ascii="Libre Baskerville" w:eastAsia="Times New Roman" w:hAnsi="Libre Baskerville" w:cs="Times New Roman"/>
          <w:color w:val="000000"/>
          <w:kern w:val="0"/>
          <w:sz w:val="27"/>
          <w:szCs w:val="27"/>
          <w:lang w:eastAsia="fr-FR"/>
          <w14:ligatures w14:val="none"/>
        </w:rPr>
      </w:pPr>
      <w:r w:rsidRPr="00FD311D">
        <w:rPr>
          <w:rFonts w:ascii="Libre Baskerville" w:eastAsia="Times New Roman" w:hAnsi="Libre Baskerville" w:cs="Times New Roman"/>
          <w:color w:val="000000"/>
          <w:kern w:val="0"/>
          <w:sz w:val="27"/>
          <w:szCs w:val="27"/>
          <w:lang w:eastAsia="fr-FR"/>
          <w14:ligatures w14:val="none"/>
        </w:rPr>
        <w:t>Dans ce contexte, la région Bretagne, plus connue du grand public pour la production de cidre, voit la culture de la vigne se développer sur son territoire. Et ce, avant tout, du fait d’un changement législatif avec un </w:t>
      </w:r>
      <w:hyperlink r:id="rId23" w:history="1">
        <w:r w:rsidRPr="00FD311D">
          <w:rPr>
            <w:rFonts w:ascii="Libre Baskerville" w:eastAsia="Times New Roman" w:hAnsi="Libre Baskerville" w:cs="Times New Roman"/>
            <w:color w:val="4B4B4E"/>
            <w:kern w:val="0"/>
            <w:sz w:val="27"/>
            <w:szCs w:val="27"/>
            <w:u w:val="single"/>
            <w:lang w:eastAsia="fr-FR"/>
            <w14:ligatures w14:val="none"/>
          </w:rPr>
          <w:t>décret de 2015</w:t>
        </w:r>
      </w:hyperlink>
      <w:r w:rsidRPr="00FD311D">
        <w:rPr>
          <w:rFonts w:ascii="Libre Baskerville" w:eastAsia="Times New Roman" w:hAnsi="Libre Baskerville" w:cs="Times New Roman"/>
          <w:color w:val="000000"/>
          <w:kern w:val="0"/>
          <w:sz w:val="27"/>
          <w:szCs w:val="27"/>
          <w:lang w:eastAsia="fr-FR"/>
          <w14:ligatures w14:val="none"/>
        </w:rPr>
        <w:t> modifiant le régime des droits de plantation à l’échelle de l’Europe. Ce texte permet de fait la plantation de vignes à but commercial dans des régions historiquement non viticoles.</w:t>
      </w:r>
    </w:p>
    <w:p w14:paraId="159A8369" w14:textId="77777777" w:rsidR="00FD311D" w:rsidRDefault="00FD311D" w:rsidP="00FD311D">
      <w:pPr>
        <w:spacing w:after="270" w:line="240" w:lineRule="auto"/>
        <w:textAlignment w:val="baseline"/>
        <w:rPr>
          <w:rFonts w:ascii="Libre Baskerville" w:eastAsia="Times New Roman" w:hAnsi="Libre Baskerville" w:cs="Times New Roman"/>
          <w:color w:val="000000"/>
          <w:kern w:val="0"/>
          <w:sz w:val="27"/>
          <w:szCs w:val="27"/>
          <w:lang w:eastAsia="fr-FR"/>
          <w14:ligatures w14:val="none"/>
        </w:rPr>
      </w:pPr>
      <w:r w:rsidRPr="00FD311D">
        <w:rPr>
          <w:rFonts w:ascii="Libre Baskerville" w:eastAsia="Times New Roman" w:hAnsi="Libre Baskerville" w:cs="Times New Roman"/>
          <w:color w:val="000000"/>
          <w:kern w:val="0"/>
          <w:sz w:val="27"/>
          <w:szCs w:val="27"/>
          <w:lang w:eastAsia="fr-FR"/>
          <w14:ligatures w14:val="none"/>
        </w:rPr>
        <w:t>Mais le changement climatique favorise également les conditions thermiques pour une production de </w:t>
      </w:r>
      <w:hyperlink r:id="rId24" w:history="1">
        <w:r w:rsidRPr="00FD311D">
          <w:rPr>
            <w:rFonts w:ascii="Libre Baskerville" w:eastAsia="Times New Roman" w:hAnsi="Libre Baskerville" w:cs="Times New Roman"/>
            <w:color w:val="4B4B4E"/>
            <w:kern w:val="0"/>
            <w:sz w:val="27"/>
            <w:szCs w:val="27"/>
            <w:u w:val="single"/>
            <w:lang w:eastAsia="fr-FR"/>
            <w14:ligatures w14:val="none"/>
          </w:rPr>
          <w:t>crus bretons</w:t>
        </w:r>
      </w:hyperlink>
      <w:r w:rsidRPr="00FD311D">
        <w:rPr>
          <w:rFonts w:ascii="Libre Baskerville" w:eastAsia="Times New Roman" w:hAnsi="Libre Baskerville" w:cs="Times New Roman"/>
          <w:color w:val="000000"/>
          <w:kern w:val="0"/>
          <w:sz w:val="27"/>
          <w:szCs w:val="27"/>
          <w:lang w:eastAsia="fr-FR"/>
          <w14:ligatures w14:val="none"/>
        </w:rPr>
        <w:t>. Même si on ne peut pas réduire les climats de la Bretagne à celui de Rennes ou ceux du vignoble bordelais à celui de Bordeaux, la comparaison des conditions thermiques des deux villes depuis le milieu du siècle dernier peut être provoquante dans ce contexte, mais elle est éloquente pour saisir l’ampleur du changement climatique en Bretagne.</w:t>
      </w:r>
    </w:p>
    <w:p w14:paraId="2AEFC442" w14:textId="449F9B4F" w:rsidR="00C20583" w:rsidRDefault="00C20583" w:rsidP="00FD311D">
      <w:pPr>
        <w:spacing w:after="270" w:line="240" w:lineRule="auto"/>
        <w:textAlignment w:val="baseline"/>
        <w:rPr>
          <w:rFonts w:ascii="Libre Baskerville" w:eastAsia="Times New Roman" w:hAnsi="Libre Baskerville" w:cs="Times New Roman"/>
          <w:color w:val="000000"/>
          <w:kern w:val="0"/>
          <w:sz w:val="27"/>
          <w:szCs w:val="27"/>
          <w:lang w:eastAsia="fr-FR"/>
          <w14:ligatures w14:val="none"/>
        </w:rPr>
      </w:pPr>
      <w:r>
        <w:rPr>
          <w:rFonts w:ascii="Libre Baskerville" w:eastAsia="Times New Roman" w:hAnsi="Libre Baskerville" w:cs="Times New Roman"/>
          <w:color w:val="000000"/>
          <w:kern w:val="0"/>
          <w:sz w:val="27"/>
          <w:szCs w:val="27"/>
          <w:lang w:eastAsia="fr-FR"/>
          <w14:ligatures w14:val="none"/>
        </w:rPr>
        <w:t>INFOG 5</w:t>
      </w:r>
    </w:p>
    <w:p w14:paraId="7A0D1663" w14:textId="52C364EA" w:rsidR="00C20583" w:rsidRDefault="00C20583" w:rsidP="00FD311D">
      <w:pPr>
        <w:spacing w:after="270" w:line="240" w:lineRule="auto"/>
        <w:textAlignment w:val="baseline"/>
        <w:rPr>
          <w:rStyle w:val="license"/>
          <w:rFonts w:ascii="Helvetica Neue" w:hAnsi="Helvetica Neue"/>
          <w:color w:val="212121"/>
          <w:sz w:val="20"/>
          <w:szCs w:val="20"/>
          <w:bdr w:val="none" w:sz="0" w:space="0" w:color="auto" w:frame="1"/>
        </w:rPr>
      </w:pPr>
      <w:r>
        <w:rPr>
          <w:rStyle w:val="caption"/>
          <w:rFonts w:ascii="Helvetica Neue" w:hAnsi="Helvetica Neue"/>
          <w:color w:val="4B4B4E"/>
          <w:sz w:val="20"/>
          <w:szCs w:val="20"/>
          <w:bdr w:val="none" w:sz="0" w:space="0" w:color="auto" w:frame="1"/>
        </w:rPr>
        <w:t>Températures moyennes annuelles (1946-2023) à Rennes et Bordeaux.</w:t>
      </w:r>
      <w:r>
        <w:rPr>
          <w:rStyle w:val="apple-converted-space"/>
          <w:rFonts w:ascii="Helvetica Neue" w:hAnsi="Helvetica Neue"/>
          <w:color w:val="4B4B4E"/>
          <w:sz w:val="20"/>
          <w:szCs w:val="20"/>
          <w:shd w:val="clear" w:color="auto" w:fill="FFFFFF"/>
        </w:rPr>
        <w:t> </w:t>
      </w:r>
      <w:hyperlink r:id="rId25" w:history="1">
        <w:r>
          <w:rPr>
            <w:rStyle w:val="Lienhypertexte"/>
            <w:rFonts w:ascii="Helvetica Neue" w:hAnsi="Helvetica Neue"/>
            <w:color w:val="4B4B4E"/>
            <w:sz w:val="20"/>
            <w:szCs w:val="20"/>
            <w:bdr w:val="none" w:sz="0" w:space="0" w:color="auto" w:frame="1"/>
          </w:rPr>
          <w:t xml:space="preserve">Extrait d’une présentation au colloque « le vin breton : la renaissance d’un vignoble », La cité du Vin à Bordeaux, </w:t>
        </w:r>
        <w:proofErr w:type="spellStart"/>
        <w:r>
          <w:rPr>
            <w:rStyle w:val="Lienhypertexte"/>
            <w:rFonts w:ascii="Helvetica Neue" w:hAnsi="Helvetica Neue"/>
            <w:color w:val="4B4B4E"/>
            <w:sz w:val="20"/>
            <w:szCs w:val="20"/>
            <w:bdr w:val="none" w:sz="0" w:space="0" w:color="auto" w:frame="1"/>
          </w:rPr>
          <w:t>Bonnardot</w:t>
        </w:r>
        <w:proofErr w:type="spellEnd"/>
        <w:r>
          <w:rPr>
            <w:rStyle w:val="Lienhypertexte"/>
            <w:rFonts w:ascii="Helvetica Neue" w:hAnsi="Helvetica Neue"/>
            <w:color w:val="4B4B4E"/>
            <w:sz w:val="20"/>
            <w:szCs w:val="20"/>
            <w:bdr w:val="none" w:sz="0" w:space="0" w:color="auto" w:frame="1"/>
          </w:rPr>
          <w:t>, 2024</w:t>
        </w:r>
      </w:hyperlink>
      <w:r>
        <w:rPr>
          <w:rStyle w:val="attribution"/>
          <w:rFonts w:ascii="Helvetica Neue" w:hAnsi="Helvetica Neue"/>
          <w:color w:val="212121"/>
          <w:sz w:val="20"/>
          <w:szCs w:val="20"/>
          <w:bdr w:val="none" w:sz="0" w:space="0" w:color="auto" w:frame="1"/>
        </w:rPr>
        <w:t>.</w:t>
      </w:r>
      <w:r>
        <w:rPr>
          <w:rStyle w:val="apple-converted-space"/>
          <w:rFonts w:ascii="Helvetica Neue" w:hAnsi="Helvetica Neue"/>
          <w:color w:val="212121"/>
          <w:sz w:val="20"/>
          <w:szCs w:val="20"/>
          <w:bdr w:val="none" w:sz="0" w:space="0" w:color="auto" w:frame="1"/>
        </w:rPr>
        <w:t> </w:t>
      </w:r>
      <w:r>
        <w:rPr>
          <w:rStyle w:val="license"/>
          <w:rFonts w:ascii="Helvetica Neue" w:hAnsi="Helvetica Neue"/>
          <w:color w:val="212121"/>
          <w:sz w:val="20"/>
          <w:szCs w:val="20"/>
          <w:bdr w:val="none" w:sz="0" w:space="0" w:color="auto" w:frame="1"/>
        </w:rPr>
        <w:t>Fourni par l'auteur</w:t>
      </w:r>
      <w:r>
        <w:rPr>
          <w:rStyle w:val="license"/>
          <w:rFonts w:ascii="Helvetica Neue" w:hAnsi="Helvetica Neue"/>
          <w:color w:val="212121"/>
          <w:sz w:val="20"/>
          <w:szCs w:val="20"/>
          <w:bdr w:val="none" w:sz="0" w:space="0" w:color="auto" w:frame="1"/>
        </w:rPr>
        <w:t>.</w:t>
      </w:r>
    </w:p>
    <w:p w14:paraId="26C46AE3" w14:textId="77777777" w:rsidR="009516F3" w:rsidRDefault="009516F3" w:rsidP="009516F3">
      <w:pPr>
        <w:pStyle w:val="NormalWeb"/>
        <w:spacing w:before="0" w:beforeAutospacing="0" w:after="0" w:afterAutospacing="0"/>
        <w:textAlignment w:val="baseline"/>
        <w:rPr>
          <w:rFonts w:ascii="Libre Baskerville" w:hAnsi="Libre Baskerville"/>
          <w:color w:val="000000"/>
          <w:sz w:val="27"/>
          <w:szCs w:val="27"/>
        </w:rPr>
      </w:pPr>
      <w:r>
        <w:rPr>
          <w:rFonts w:ascii="Libre Baskerville" w:hAnsi="Libre Baskerville"/>
          <w:color w:val="000000"/>
          <w:sz w:val="27"/>
          <w:szCs w:val="27"/>
        </w:rPr>
        <w:t>La température moyenne annuelle de Rennes sur la période 1991-2020 (12,4 °C) est similaire à celle de Bordeaux sur la période historique 1951-1980 (12,5 °C). Les valeurs de Rennes en 2022 (13,8 °C) et 2023 (13,4 °C) n’ont pas été atteintes à Bordeaux sur cette période historique. Dans le futur, si</w:t>
      </w:r>
      <w:r>
        <w:rPr>
          <w:rStyle w:val="apple-converted-space"/>
          <w:rFonts w:ascii="Libre Baskerville" w:eastAsiaTheme="majorEastAsia" w:hAnsi="Libre Baskerville"/>
          <w:color w:val="000000"/>
          <w:sz w:val="27"/>
          <w:szCs w:val="27"/>
        </w:rPr>
        <w:t> </w:t>
      </w:r>
      <w:r>
        <w:rPr>
          <w:rStyle w:val="Accentuation"/>
          <w:rFonts w:ascii="Libre Baskerville" w:eastAsiaTheme="majorEastAsia" w:hAnsi="Libre Baskerville"/>
          <w:color w:val="000000"/>
          <w:sz w:val="27"/>
          <w:szCs w:val="27"/>
          <w:bdr w:val="none" w:sz="0" w:space="0" w:color="auto" w:frame="1"/>
        </w:rPr>
        <w:t>les rênes du destin</w:t>
      </w:r>
      <w:r>
        <w:rPr>
          <w:rStyle w:val="apple-converted-space"/>
          <w:rFonts w:ascii="Libre Baskerville" w:eastAsiaTheme="majorEastAsia" w:hAnsi="Libre Baskerville"/>
          <w:color w:val="000000"/>
          <w:sz w:val="27"/>
          <w:szCs w:val="27"/>
        </w:rPr>
        <w:t> </w:t>
      </w:r>
      <w:r>
        <w:rPr>
          <w:rFonts w:ascii="Libre Baskerville" w:hAnsi="Libre Baskerville"/>
          <w:color w:val="000000"/>
          <w:sz w:val="27"/>
          <w:szCs w:val="27"/>
        </w:rPr>
        <w:t>(du climat) ne sont pas tenues, « la moyenne annuelle à Rennes atteindrait 15,3 °C, celle qu’on rencontre par exemple actuellement à Coimbra au centre du Portugal » résumait ainsi le</w:t>
      </w:r>
      <w:r>
        <w:rPr>
          <w:rStyle w:val="apple-converted-space"/>
          <w:rFonts w:ascii="Libre Baskerville" w:eastAsiaTheme="majorEastAsia" w:hAnsi="Libre Baskerville"/>
          <w:color w:val="000000"/>
          <w:sz w:val="27"/>
          <w:szCs w:val="27"/>
        </w:rPr>
        <w:t> </w:t>
      </w:r>
      <w:hyperlink r:id="rId26" w:history="1">
        <w:r>
          <w:rPr>
            <w:rStyle w:val="Lienhypertexte"/>
            <w:rFonts w:ascii="Libre Baskerville" w:eastAsiaTheme="majorEastAsia" w:hAnsi="Libre Baskerville"/>
            <w:color w:val="4B4B4E"/>
            <w:sz w:val="27"/>
            <w:szCs w:val="27"/>
          </w:rPr>
          <w:t>géographe climatologue Vincent Dubreuil</w:t>
        </w:r>
      </w:hyperlink>
      <w:r>
        <w:rPr>
          <w:rFonts w:ascii="Libre Baskerville" w:hAnsi="Libre Baskerville"/>
          <w:color w:val="000000"/>
          <w:sz w:val="27"/>
          <w:szCs w:val="27"/>
        </w:rPr>
        <w:t>.</w:t>
      </w:r>
    </w:p>
    <w:p w14:paraId="58455CDB" w14:textId="77777777" w:rsidR="009516F3" w:rsidRDefault="009516F3" w:rsidP="009516F3">
      <w:pPr>
        <w:pStyle w:val="NormalWeb"/>
        <w:spacing w:before="0" w:beforeAutospacing="0" w:after="270" w:afterAutospacing="0"/>
        <w:textAlignment w:val="baseline"/>
        <w:rPr>
          <w:rFonts w:ascii="Libre Baskerville" w:hAnsi="Libre Baskerville"/>
          <w:color w:val="000000"/>
          <w:sz w:val="27"/>
          <w:szCs w:val="27"/>
        </w:rPr>
      </w:pPr>
      <w:r>
        <w:rPr>
          <w:rFonts w:ascii="Libre Baskerville" w:hAnsi="Libre Baskerville"/>
          <w:color w:val="000000"/>
          <w:sz w:val="27"/>
          <w:szCs w:val="27"/>
        </w:rPr>
        <w:lastRenderedPageBreak/>
        <w:t>Ces conditions thermiques en Bretagne permettraient de</w:t>
      </w:r>
      <w:r>
        <w:rPr>
          <w:rStyle w:val="apple-converted-space"/>
          <w:rFonts w:ascii="Libre Baskerville" w:eastAsiaTheme="majorEastAsia" w:hAnsi="Libre Baskerville"/>
          <w:color w:val="000000"/>
          <w:sz w:val="27"/>
          <w:szCs w:val="27"/>
        </w:rPr>
        <w:t> </w:t>
      </w:r>
      <w:hyperlink r:id="rId27" w:history="1">
        <w:r>
          <w:rPr>
            <w:rStyle w:val="Lienhypertexte"/>
            <w:rFonts w:ascii="Libre Baskerville" w:eastAsiaTheme="majorEastAsia" w:hAnsi="Libre Baskerville"/>
            <w:color w:val="4B4B4E"/>
            <w:sz w:val="27"/>
            <w:szCs w:val="27"/>
          </w:rPr>
          <w:t xml:space="preserve">vendanger le </w:t>
        </w:r>
        <w:proofErr w:type="gramStart"/>
        <w:r>
          <w:rPr>
            <w:rStyle w:val="Lienhypertexte"/>
            <w:rFonts w:ascii="Libre Baskerville" w:eastAsiaTheme="majorEastAsia" w:hAnsi="Libre Baskerville"/>
            <w:color w:val="4B4B4E"/>
            <w:sz w:val="27"/>
            <w:szCs w:val="27"/>
          </w:rPr>
          <w:t>Chardonnay</w:t>
        </w:r>
        <w:proofErr w:type="gramEnd"/>
        <w:r>
          <w:rPr>
            <w:rStyle w:val="Lienhypertexte"/>
            <w:rFonts w:ascii="Libre Baskerville" w:eastAsiaTheme="majorEastAsia" w:hAnsi="Libre Baskerville"/>
            <w:color w:val="4B4B4E"/>
            <w:sz w:val="27"/>
            <w:szCs w:val="27"/>
          </w:rPr>
          <w:t xml:space="preserve"> avant le 7 septembre et le Chenin avant le 30 septembre</w:t>
        </w:r>
      </w:hyperlink>
      <w:r>
        <w:rPr>
          <w:rStyle w:val="apple-converted-space"/>
          <w:rFonts w:ascii="Libre Baskerville" w:eastAsiaTheme="majorEastAsia" w:hAnsi="Libre Baskerville"/>
          <w:color w:val="000000"/>
          <w:sz w:val="27"/>
          <w:szCs w:val="27"/>
        </w:rPr>
        <w:t> </w:t>
      </w:r>
      <w:r>
        <w:rPr>
          <w:rFonts w:ascii="Libre Baskerville" w:hAnsi="Libre Baskerville"/>
          <w:color w:val="000000"/>
          <w:sz w:val="27"/>
          <w:szCs w:val="27"/>
        </w:rPr>
        <w:t>avec un taux de sucre de 190g/L nécessaire à la production de vins blancs de qualité.</w:t>
      </w:r>
    </w:p>
    <w:p w14:paraId="242DFD11" w14:textId="5C22A234" w:rsidR="009516F3" w:rsidRDefault="00B40123" w:rsidP="00FD311D">
      <w:pPr>
        <w:spacing w:after="270" w:line="240" w:lineRule="auto"/>
        <w:textAlignment w:val="baseline"/>
        <w:rPr>
          <w:rFonts w:ascii="Libre Baskerville" w:hAnsi="Libre Baskerville"/>
          <w:color w:val="000000"/>
          <w:sz w:val="27"/>
          <w:szCs w:val="27"/>
          <w:shd w:val="clear" w:color="auto" w:fill="FFFFFF"/>
        </w:rPr>
      </w:pPr>
      <w:r>
        <w:rPr>
          <w:rFonts w:ascii="Libre Baskerville" w:hAnsi="Libre Baskerville"/>
          <w:color w:val="000000"/>
          <w:sz w:val="27"/>
          <w:szCs w:val="27"/>
          <w:shd w:val="clear" w:color="auto" w:fill="FFFFFF"/>
        </w:rPr>
        <w:t>En attendant, on a pu enregistrer les premières dates de vendanges à but commercial en Bretagne en 2022 et 2023, qui se sont étalées sur le mois de septembre en fonction des endroits et des cépages. Celles de 2024, comme c’est le cas ailleurs dans les régions viticoles de France, s’annoncent légèrement plus tardives… mais toujours dans la normale historique des régions viticoles traditionnelles.</w:t>
      </w:r>
    </w:p>
    <w:p w14:paraId="0B065BDE" w14:textId="0A3AE44F" w:rsidR="00B40123" w:rsidRDefault="00B40123" w:rsidP="00B40123">
      <w:pPr>
        <w:spacing w:after="0" w:line="240" w:lineRule="auto"/>
        <w:rPr>
          <w:rFonts w:ascii="Helvetica Neue" w:eastAsia="Times New Roman" w:hAnsi="Helvetica Neue" w:cs="Times New Roman"/>
          <w:color w:val="4B4B4E"/>
          <w:kern w:val="0"/>
          <w:sz w:val="17"/>
          <w:szCs w:val="17"/>
          <w:lang w:eastAsia="fr-FR"/>
          <w14:ligatures w14:val="none"/>
        </w:rPr>
      </w:pPr>
      <w:hyperlink r:id="rId28" w:history="1">
        <w:r w:rsidRPr="00B40123">
          <w:rPr>
            <w:rFonts w:ascii="Helvetica Neue" w:eastAsia="Times New Roman" w:hAnsi="Helvetica Neue" w:cs="Times New Roman"/>
            <w:b/>
            <w:bCs/>
            <w:color w:val="4B4B4E"/>
            <w:kern w:val="0"/>
            <w:sz w:val="18"/>
            <w:szCs w:val="18"/>
            <w:bdr w:val="none" w:sz="0" w:space="0" w:color="auto" w:frame="1"/>
            <w:lang w:eastAsia="fr-FR"/>
            <w14:ligatures w14:val="none"/>
          </w:rPr>
          <w:t xml:space="preserve">Valérie </w:t>
        </w:r>
        <w:proofErr w:type="spellStart"/>
        <w:r w:rsidRPr="00B40123">
          <w:rPr>
            <w:rFonts w:ascii="Helvetica Neue" w:eastAsia="Times New Roman" w:hAnsi="Helvetica Neue" w:cs="Times New Roman"/>
            <w:b/>
            <w:bCs/>
            <w:color w:val="4B4B4E"/>
            <w:kern w:val="0"/>
            <w:sz w:val="18"/>
            <w:szCs w:val="18"/>
            <w:bdr w:val="none" w:sz="0" w:space="0" w:color="auto" w:frame="1"/>
            <w:lang w:eastAsia="fr-FR"/>
            <w14:ligatures w14:val="none"/>
          </w:rPr>
          <w:t>Bonnardot</w:t>
        </w:r>
        <w:proofErr w:type="spellEnd"/>
      </w:hyperlink>
      <w:r>
        <w:rPr>
          <w:rFonts w:ascii="Times New Roman" w:eastAsia="Times New Roman" w:hAnsi="Times New Roman" w:cs="Times New Roman"/>
          <w:kern w:val="0"/>
          <w:lang w:eastAsia="fr-FR"/>
          <w14:ligatures w14:val="none"/>
        </w:rPr>
        <w:t xml:space="preserve"> </w:t>
      </w:r>
      <w:r w:rsidRPr="00B40123">
        <w:rPr>
          <w:rFonts w:ascii="Helvetica Neue" w:eastAsia="Times New Roman" w:hAnsi="Helvetica Neue" w:cs="Times New Roman"/>
          <w:color w:val="4B4B4E"/>
          <w:kern w:val="0"/>
          <w:sz w:val="17"/>
          <w:szCs w:val="17"/>
          <w:lang w:eastAsia="fr-FR"/>
          <w14:ligatures w14:val="none"/>
        </w:rPr>
        <w:t>Maitre de Conférences en géographie environnementale - climatologie, Université Rennes 2</w:t>
      </w:r>
    </w:p>
    <w:p w14:paraId="72DCD9BD" w14:textId="77777777" w:rsidR="00B40123" w:rsidRDefault="00B40123" w:rsidP="00B40123">
      <w:pPr>
        <w:spacing w:after="0" w:line="240" w:lineRule="auto"/>
        <w:rPr>
          <w:rFonts w:ascii="Helvetica Neue" w:eastAsia="Times New Roman" w:hAnsi="Helvetica Neue" w:cs="Times New Roman"/>
          <w:color w:val="4B4B4E"/>
          <w:kern w:val="0"/>
          <w:sz w:val="17"/>
          <w:szCs w:val="17"/>
          <w:lang w:eastAsia="fr-FR"/>
          <w14:ligatures w14:val="none"/>
        </w:rPr>
      </w:pPr>
    </w:p>
    <w:p w14:paraId="3A7A232E" w14:textId="2CE42E9E" w:rsidR="00B40123" w:rsidRPr="00B40123" w:rsidRDefault="00581B66" w:rsidP="00B40123">
      <w:pPr>
        <w:spacing w:after="0" w:line="240" w:lineRule="auto"/>
        <w:rPr>
          <w:rFonts w:ascii="Times New Roman" w:eastAsia="Times New Roman" w:hAnsi="Times New Roman" w:cs="Times New Roman"/>
          <w:kern w:val="0"/>
          <w:lang w:eastAsia="fr-FR"/>
          <w14:ligatures w14:val="none"/>
        </w:rPr>
      </w:pPr>
      <w:r>
        <w:rPr>
          <w:rStyle w:val="Accentuation"/>
          <w:rFonts w:ascii="Lora" w:hAnsi="Lora"/>
          <w:color w:val="414141"/>
          <w:sz w:val="30"/>
          <w:szCs w:val="30"/>
          <w:bdr w:val="none" w:sz="0" w:space="0" w:color="auto" w:frame="1"/>
        </w:rPr>
        <w:t>Cet article est republié à partir de</w:t>
      </w:r>
      <w:hyperlink r:id="rId29" w:history="1">
        <w:r>
          <w:rPr>
            <w:rStyle w:val="Lienhypertexte"/>
            <w:rFonts w:ascii="Lora" w:hAnsi="Lora"/>
            <w:i/>
            <w:iCs/>
            <w:color w:val="000000"/>
            <w:sz w:val="30"/>
            <w:szCs w:val="30"/>
            <w:bdr w:val="none" w:sz="0" w:space="0" w:color="auto" w:frame="1"/>
          </w:rPr>
          <w:t> The Conversation </w:t>
        </w:r>
      </w:hyperlink>
      <w:r>
        <w:rPr>
          <w:rStyle w:val="Accentuation"/>
          <w:rFonts w:ascii="Lora" w:hAnsi="Lora"/>
          <w:color w:val="414141"/>
          <w:sz w:val="30"/>
          <w:szCs w:val="30"/>
          <w:bdr w:val="none" w:sz="0" w:space="0" w:color="auto" w:frame="1"/>
        </w:rPr>
        <w:t>sous licence Creative Commons.</w:t>
      </w:r>
      <w:hyperlink r:id="rId30" w:history="1">
        <w:r>
          <w:rPr>
            <w:rStyle w:val="Accentuation"/>
            <w:rFonts w:ascii="Lora" w:hAnsi="Lora"/>
            <w:color w:val="000000"/>
            <w:sz w:val="30"/>
            <w:szCs w:val="30"/>
            <w:bdr w:val="none" w:sz="0" w:space="0" w:color="auto" w:frame="1"/>
          </w:rPr>
          <w:t> Lire l’article original sur The Conversation.</w:t>
        </w:r>
      </w:hyperlink>
    </w:p>
    <w:p w14:paraId="49DF9CA7" w14:textId="77777777" w:rsidR="00B40123" w:rsidRDefault="00B40123" w:rsidP="00FD311D">
      <w:pPr>
        <w:spacing w:after="270" w:line="240" w:lineRule="auto"/>
        <w:textAlignment w:val="baseline"/>
        <w:rPr>
          <w:rStyle w:val="license"/>
          <w:rFonts w:ascii="Helvetica Neue" w:hAnsi="Helvetica Neue"/>
          <w:color w:val="212121"/>
          <w:sz w:val="20"/>
          <w:szCs w:val="20"/>
          <w:bdr w:val="none" w:sz="0" w:space="0" w:color="auto" w:frame="1"/>
        </w:rPr>
      </w:pPr>
    </w:p>
    <w:p w14:paraId="2A2CC36C" w14:textId="45024720" w:rsidR="00B40123" w:rsidRPr="00B40123" w:rsidRDefault="00B40123" w:rsidP="00FD311D">
      <w:pPr>
        <w:spacing w:after="270" w:line="240" w:lineRule="auto"/>
        <w:textAlignment w:val="baseline"/>
        <w:rPr>
          <w:rStyle w:val="license"/>
          <w:rFonts w:ascii="Helvetica Neue" w:hAnsi="Helvetica Neue"/>
          <w:color w:val="212121"/>
          <w:sz w:val="20"/>
          <w:szCs w:val="20"/>
          <w:bdr w:val="none" w:sz="0" w:space="0" w:color="auto" w:frame="1"/>
          <w:lang w:val="en-US"/>
        </w:rPr>
      </w:pPr>
      <w:r w:rsidRPr="00B40123">
        <w:rPr>
          <w:rFonts w:ascii="Monaco" w:hAnsi="Monaco"/>
          <w:color w:val="4B4B4E"/>
          <w:sz w:val="21"/>
          <w:szCs w:val="21"/>
          <w:shd w:val="clear" w:color="auto" w:fill="F2F2F3"/>
          <w:lang w:val="en-US"/>
        </w:rPr>
        <w:t>&lt;script type="text/</w:t>
      </w:r>
      <w:proofErr w:type="spellStart"/>
      <w:r w:rsidRPr="00B40123">
        <w:rPr>
          <w:rFonts w:ascii="Monaco" w:hAnsi="Monaco"/>
          <w:color w:val="4B4B4E"/>
          <w:sz w:val="21"/>
          <w:szCs w:val="21"/>
          <w:shd w:val="clear" w:color="auto" w:fill="F2F2F3"/>
          <w:lang w:val="en-US"/>
        </w:rPr>
        <w:t>javascript</w:t>
      </w:r>
      <w:proofErr w:type="spellEnd"/>
      <w:r w:rsidRPr="00B40123">
        <w:rPr>
          <w:rFonts w:ascii="Monaco" w:hAnsi="Monaco"/>
          <w:color w:val="4B4B4E"/>
          <w:sz w:val="21"/>
          <w:szCs w:val="21"/>
          <w:shd w:val="clear" w:color="auto" w:fill="F2F2F3"/>
          <w:lang w:val="en-US"/>
        </w:rPr>
        <w:t>" src="https://theconversation.com/javascripts/lib/content_tracker_hook.js" id="</w:t>
      </w:r>
      <w:proofErr w:type="spellStart"/>
      <w:r w:rsidRPr="00B40123">
        <w:rPr>
          <w:rFonts w:ascii="Monaco" w:hAnsi="Monaco"/>
          <w:color w:val="4B4B4E"/>
          <w:sz w:val="21"/>
          <w:szCs w:val="21"/>
          <w:shd w:val="clear" w:color="auto" w:fill="F2F2F3"/>
          <w:lang w:val="en-US"/>
        </w:rPr>
        <w:t>theconversation_tracker_hook</w:t>
      </w:r>
      <w:proofErr w:type="spellEnd"/>
      <w:r w:rsidRPr="00B40123">
        <w:rPr>
          <w:rFonts w:ascii="Monaco" w:hAnsi="Monaco"/>
          <w:color w:val="4B4B4E"/>
          <w:sz w:val="21"/>
          <w:szCs w:val="21"/>
          <w:shd w:val="clear" w:color="auto" w:fill="F2F2F3"/>
          <w:lang w:val="en-US"/>
        </w:rPr>
        <w:t>" data-counter="https://counter.theconversation.com/content/238145/count?distributor=republish-lightbox-advanced" async="async"&gt;&lt;/script&gt;</w:t>
      </w:r>
    </w:p>
    <w:p w14:paraId="3C11A46C" w14:textId="77777777" w:rsidR="00C20583" w:rsidRPr="00FD311D" w:rsidRDefault="00C20583" w:rsidP="00FD311D">
      <w:pPr>
        <w:spacing w:after="270" w:line="240" w:lineRule="auto"/>
        <w:textAlignment w:val="baseline"/>
        <w:rPr>
          <w:rFonts w:ascii="Libre Baskerville" w:eastAsia="Times New Roman" w:hAnsi="Libre Baskerville" w:cs="Times New Roman"/>
          <w:color w:val="000000"/>
          <w:kern w:val="0"/>
          <w:sz w:val="27"/>
          <w:szCs w:val="27"/>
          <w:lang w:val="en-US" w:eastAsia="fr-FR"/>
          <w14:ligatures w14:val="none"/>
        </w:rPr>
      </w:pPr>
    </w:p>
    <w:p w14:paraId="1A96CE32" w14:textId="77777777" w:rsidR="00FD311D" w:rsidRPr="00B40123" w:rsidRDefault="00FD311D" w:rsidP="00A92B13">
      <w:pPr>
        <w:pStyle w:val="NormalWeb"/>
        <w:spacing w:before="0" w:beforeAutospacing="0" w:after="270" w:afterAutospacing="0"/>
        <w:textAlignment w:val="baseline"/>
        <w:rPr>
          <w:rFonts w:ascii="Libre Baskerville" w:hAnsi="Libre Baskerville"/>
          <w:color w:val="000000"/>
          <w:sz w:val="27"/>
          <w:szCs w:val="27"/>
          <w:lang w:val="en-US"/>
        </w:rPr>
      </w:pPr>
    </w:p>
    <w:p w14:paraId="7A24E156" w14:textId="77777777" w:rsidR="00903E1C" w:rsidRPr="00B40123" w:rsidRDefault="00903E1C" w:rsidP="00903E1C">
      <w:pPr>
        <w:spacing w:after="270" w:line="240" w:lineRule="auto"/>
        <w:textAlignment w:val="baseline"/>
        <w:rPr>
          <w:rFonts w:ascii="Helvetica Neue" w:hAnsi="Helvetica Neue"/>
          <w:color w:val="212121"/>
          <w:sz w:val="20"/>
          <w:szCs w:val="20"/>
          <w:bdr w:val="none" w:sz="0" w:space="0" w:color="auto" w:frame="1"/>
          <w:lang w:val="en-US"/>
        </w:rPr>
      </w:pPr>
    </w:p>
    <w:p w14:paraId="461ADB87" w14:textId="77777777" w:rsidR="00903E1C" w:rsidRPr="00B40123" w:rsidRDefault="00903E1C" w:rsidP="00903E1C">
      <w:pPr>
        <w:spacing w:after="270" w:line="240" w:lineRule="auto"/>
        <w:textAlignment w:val="baseline"/>
        <w:rPr>
          <w:rStyle w:val="license"/>
          <w:rFonts w:ascii="Helvetica Neue" w:hAnsi="Helvetica Neue"/>
          <w:color w:val="212121"/>
          <w:sz w:val="20"/>
          <w:szCs w:val="20"/>
          <w:bdr w:val="none" w:sz="0" w:space="0" w:color="auto" w:frame="1"/>
          <w:lang w:val="en-US"/>
        </w:rPr>
      </w:pPr>
    </w:p>
    <w:p w14:paraId="140AB44C" w14:textId="77777777" w:rsidR="00903E1C" w:rsidRPr="00903E1C" w:rsidRDefault="00903E1C" w:rsidP="00903E1C">
      <w:pPr>
        <w:spacing w:after="270" w:line="240" w:lineRule="auto"/>
        <w:textAlignment w:val="baseline"/>
        <w:rPr>
          <w:rFonts w:ascii="Libre Baskerville" w:eastAsia="Times New Roman" w:hAnsi="Libre Baskerville" w:cs="Times New Roman"/>
          <w:color w:val="000000"/>
          <w:kern w:val="0"/>
          <w:sz w:val="27"/>
          <w:szCs w:val="27"/>
          <w:lang w:val="en-US" w:eastAsia="fr-FR"/>
          <w14:ligatures w14:val="none"/>
        </w:rPr>
      </w:pPr>
    </w:p>
    <w:p w14:paraId="7B983BC6" w14:textId="77777777" w:rsidR="00903E1C" w:rsidRPr="00B40123" w:rsidRDefault="00903E1C">
      <w:pPr>
        <w:rPr>
          <w:lang w:val="en-US"/>
        </w:rPr>
      </w:pPr>
    </w:p>
    <w:sectPr w:rsidR="00903E1C" w:rsidRPr="00B401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Libre Baskerville">
    <w:panose1 w:val="02000000000000000000"/>
    <w:charset w:val="00"/>
    <w:family w:val="auto"/>
    <w:pitch w:val="variable"/>
    <w:sig w:usb0="A00000BF" w:usb1="5000005B"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Lora">
    <w:panose1 w:val="00000000000000000000"/>
    <w:charset w:val="4D"/>
    <w:family w:val="auto"/>
    <w:pitch w:val="variable"/>
    <w:sig w:usb0="A00002FF" w:usb1="5000204B" w:usb2="00000000" w:usb3="00000000" w:csb0="00000097" w:csb1="00000000"/>
  </w:font>
  <w:font w:name="Monaco">
    <w:panose1 w:val="00000000000000000000"/>
    <w:charset w:val="4D"/>
    <w:family w:val="auto"/>
    <w:pitch w:val="variable"/>
    <w:sig w:usb0="A00002FF" w:usb1="500039F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1C"/>
    <w:rsid w:val="00581B66"/>
    <w:rsid w:val="00903E1C"/>
    <w:rsid w:val="009516F3"/>
    <w:rsid w:val="00A92B13"/>
    <w:rsid w:val="00B40123"/>
    <w:rsid w:val="00C20583"/>
    <w:rsid w:val="00FD31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14CB30E"/>
  <w15:chartTrackingRefBased/>
  <w15:docId w15:val="{39F8AB6F-5E2F-274F-9AB4-4A9F43F9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3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03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03E1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03E1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03E1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03E1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3E1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3E1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3E1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3E1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03E1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03E1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03E1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03E1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03E1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3E1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3E1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3E1C"/>
    <w:rPr>
      <w:rFonts w:eastAsiaTheme="majorEastAsia" w:cstheme="majorBidi"/>
      <w:color w:val="272727" w:themeColor="text1" w:themeTint="D8"/>
    </w:rPr>
  </w:style>
  <w:style w:type="paragraph" w:styleId="Titre">
    <w:name w:val="Title"/>
    <w:basedOn w:val="Normal"/>
    <w:next w:val="Normal"/>
    <w:link w:val="TitreCar"/>
    <w:uiPriority w:val="10"/>
    <w:qFormat/>
    <w:rsid w:val="00903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3E1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3E1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3E1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3E1C"/>
    <w:pPr>
      <w:spacing w:before="160"/>
      <w:jc w:val="center"/>
    </w:pPr>
    <w:rPr>
      <w:i/>
      <w:iCs/>
      <w:color w:val="404040" w:themeColor="text1" w:themeTint="BF"/>
    </w:rPr>
  </w:style>
  <w:style w:type="character" w:customStyle="1" w:styleId="CitationCar">
    <w:name w:val="Citation Car"/>
    <w:basedOn w:val="Policepardfaut"/>
    <w:link w:val="Citation"/>
    <w:uiPriority w:val="29"/>
    <w:rsid w:val="00903E1C"/>
    <w:rPr>
      <w:i/>
      <w:iCs/>
      <w:color w:val="404040" w:themeColor="text1" w:themeTint="BF"/>
    </w:rPr>
  </w:style>
  <w:style w:type="paragraph" w:styleId="Paragraphedeliste">
    <w:name w:val="List Paragraph"/>
    <w:basedOn w:val="Normal"/>
    <w:uiPriority w:val="34"/>
    <w:qFormat/>
    <w:rsid w:val="00903E1C"/>
    <w:pPr>
      <w:ind w:left="720"/>
      <w:contextualSpacing/>
    </w:pPr>
  </w:style>
  <w:style w:type="character" w:styleId="Accentuationintense">
    <w:name w:val="Intense Emphasis"/>
    <w:basedOn w:val="Policepardfaut"/>
    <w:uiPriority w:val="21"/>
    <w:qFormat/>
    <w:rsid w:val="00903E1C"/>
    <w:rPr>
      <w:i/>
      <w:iCs/>
      <w:color w:val="0F4761" w:themeColor="accent1" w:themeShade="BF"/>
    </w:rPr>
  </w:style>
  <w:style w:type="paragraph" w:styleId="Citationintense">
    <w:name w:val="Intense Quote"/>
    <w:basedOn w:val="Normal"/>
    <w:next w:val="Normal"/>
    <w:link w:val="CitationintenseCar"/>
    <w:uiPriority w:val="30"/>
    <w:qFormat/>
    <w:rsid w:val="00903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03E1C"/>
    <w:rPr>
      <w:i/>
      <w:iCs/>
      <w:color w:val="0F4761" w:themeColor="accent1" w:themeShade="BF"/>
    </w:rPr>
  </w:style>
  <w:style w:type="character" w:styleId="Rfrenceintense">
    <w:name w:val="Intense Reference"/>
    <w:basedOn w:val="Policepardfaut"/>
    <w:uiPriority w:val="32"/>
    <w:qFormat/>
    <w:rsid w:val="00903E1C"/>
    <w:rPr>
      <w:b/>
      <w:bCs/>
      <w:smallCaps/>
      <w:color w:val="0F4761" w:themeColor="accent1" w:themeShade="BF"/>
      <w:spacing w:val="5"/>
    </w:rPr>
  </w:style>
  <w:style w:type="character" w:styleId="lev">
    <w:name w:val="Strong"/>
    <w:basedOn w:val="Policepardfaut"/>
    <w:uiPriority w:val="22"/>
    <w:qFormat/>
    <w:rsid w:val="00903E1C"/>
    <w:rPr>
      <w:b/>
      <w:bCs/>
    </w:rPr>
  </w:style>
  <w:style w:type="paragraph" w:styleId="NormalWeb">
    <w:name w:val="Normal (Web)"/>
    <w:basedOn w:val="Normal"/>
    <w:uiPriority w:val="99"/>
    <w:semiHidden/>
    <w:unhideWhenUsed/>
    <w:rsid w:val="00903E1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903E1C"/>
  </w:style>
  <w:style w:type="character" w:styleId="Lienhypertexte">
    <w:name w:val="Hyperlink"/>
    <w:basedOn w:val="Policepardfaut"/>
    <w:uiPriority w:val="99"/>
    <w:semiHidden/>
    <w:unhideWhenUsed/>
    <w:rsid w:val="00903E1C"/>
    <w:rPr>
      <w:color w:val="0000FF"/>
      <w:u w:val="single"/>
    </w:rPr>
  </w:style>
  <w:style w:type="character" w:customStyle="1" w:styleId="caption">
    <w:name w:val="caption"/>
    <w:basedOn w:val="Policepardfaut"/>
    <w:rsid w:val="00903E1C"/>
  </w:style>
  <w:style w:type="character" w:customStyle="1" w:styleId="attribution">
    <w:name w:val="attribution"/>
    <w:basedOn w:val="Policepardfaut"/>
    <w:rsid w:val="00903E1C"/>
  </w:style>
  <w:style w:type="character" w:customStyle="1" w:styleId="license">
    <w:name w:val="license"/>
    <w:basedOn w:val="Policepardfaut"/>
    <w:rsid w:val="00903E1C"/>
  </w:style>
  <w:style w:type="character" w:styleId="Accentuation">
    <w:name w:val="Emphasis"/>
    <w:basedOn w:val="Policepardfaut"/>
    <w:uiPriority w:val="20"/>
    <w:qFormat/>
    <w:rsid w:val="009516F3"/>
    <w:rPr>
      <w:i/>
      <w:iCs/>
    </w:rPr>
  </w:style>
  <w:style w:type="character" w:customStyle="1" w:styleId="fn">
    <w:name w:val="fn"/>
    <w:basedOn w:val="Policepardfaut"/>
    <w:rsid w:val="00B40123"/>
  </w:style>
  <w:style w:type="paragraph" w:customStyle="1" w:styleId="role">
    <w:name w:val="role"/>
    <w:basedOn w:val="Normal"/>
    <w:rsid w:val="00B40123"/>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47543">
      <w:bodyDiv w:val="1"/>
      <w:marLeft w:val="0"/>
      <w:marRight w:val="0"/>
      <w:marTop w:val="0"/>
      <w:marBottom w:val="0"/>
      <w:divBdr>
        <w:top w:val="none" w:sz="0" w:space="0" w:color="auto"/>
        <w:left w:val="none" w:sz="0" w:space="0" w:color="auto"/>
        <w:bottom w:val="none" w:sz="0" w:space="0" w:color="auto"/>
        <w:right w:val="none" w:sz="0" w:space="0" w:color="auto"/>
      </w:divBdr>
    </w:div>
    <w:div w:id="333191647">
      <w:bodyDiv w:val="1"/>
      <w:marLeft w:val="0"/>
      <w:marRight w:val="0"/>
      <w:marTop w:val="0"/>
      <w:marBottom w:val="0"/>
      <w:divBdr>
        <w:top w:val="none" w:sz="0" w:space="0" w:color="auto"/>
        <w:left w:val="none" w:sz="0" w:space="0" w:color="auto"/>
        <w:bottom w:val="none" w:sz="0" w:space="0" w:color="auto"/>
        <w:right w:val="none" w:sz="0" w:space="0" w:color="auto"/>
      </w:divBdr>
    </w:div>
    <w:div w:id="685600754">
      <w:bodyDiv w:val="1"/>
      <w:marLeft w:val="0"/>
      <w:marRight w:val="0"/>
      <w:marTop w:val="0"/>
      <w:marBottom w:val="0"/>
      <w:divBdr>
        <w:top w:val="none" w:sz="0" w:space="0" w:color="auto"/>
        <w:left w:val="none" w:sz="0" w:space="0" w:color="auto"/>
        <w:bottom w:val="none" w:sz="0" w:space="0" w:color="auto"/>
        <w:right w:val="none" w:sz="0" w:space="0" w:color="auto"/>
      </w:divBdr>
    </w:div>
    <w:div w:id="1072194180">
      <w:bodyDiv w:val="1"/>
      <w:marLeft w:val="0"/>
      <w:marRight w:val="0"/>
      <w:marTop w:val="0"/>
      <w:marBottom w:val="0"/>
      <w:divBdr>
        <w:top w:val="none" w:sz="0" w:space="0" w:color="auto"/>
        <w:left w:val="none" w:sz="0" w:space="0" w:color="auto"/>
        <w:bottom w:val="none" w:sz="0" w:space="0" w:color="auto"/>
        <w:right w:val="none" w:sz="0" w:space="0" w:color="auto"/>
      </w:divBdr>
    </w:div>
    <w:div w:id="1232499942">
      <w:bodyDiv w:val="1"/>
      <w:marLeft w:val="0"/>
      <w:marRight w:val="0"/>
      <w:marTop w:val="0"/>
      <w:marBottom w:val="0"/>
      <w:divBdr>
        <w:top w:val="none" w:sz="0" w:space="0" w:color="auto"/>
        <w:left w:val="none" w:sz="0" w:space="0" w:color="auto"/>
        <w:bottom w:val="none" w:sz="0" w:space="0" w:color="auto"/>
        <w:right w:val="none" w:sz="0" w:space="0" w:color="auto"/>
      </w:divBdr>
    </w:div>
    <w:div w:id="1397388295">
      <w:bodyDiv w:val="1"/>
      <w:marLeft w:val="0"/>
      <w:marRight w:val="0"/>
      <w:marTop w:val="0"/>
      <w:marBottom w:val="0"/>
      <w:divBdr>
        <w:top w:val="none" w:sz="0" w:space="0" w:color="auto"/>
        <w:left w:val="none" w:sz="0" w:space="0" w:color="auto"/>
        <w:bottom w:val="none" w:sz="0" w:space="0" w:color="auto"/>
        <w:right w:val="none" w:sz="0" w:space="0" w:color="auto"/>
      </w:divBdr>
    </w:div>
    <w:div w:id="184847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432289a" TargetMode="External"/><Relationship Id="rId13" Type="http://schemas.openxmlformats.org/officeDocument/2006/relationships/hyperlink" Target="https://www.inrae.fr/sites/default/files/pdf/laccave-infographies-du-projet-1_0.pdf" TargetMode="External"/><Relationship Id="rId18" Type="http://schemas.openxmlformats.org/officeDocument/2006/relationships/hyperlink" Target="https://www.drias-climat.fr/accompagnement/sections/339" TargetMode="External"/><Relationship Id="rId26" Type="http://schemas.openxmlformats.org/officeDocument/2006/relationships/hyperlink" Target="https://www.linkedin.com/feed/?highlightedUpdateType=SHARED_BY_YOUR_NETWORK&amp;highlightedUpdateUrn=urn%3Ali%3Aactivity%3A7234973331672739841" TargetMode="External"/><Relationship Id="rId3" Type="http://schemas.openxmlformats.org/officeDocument/2006/relationships/webSettings" Target="webSettings.xml"/><Relationship Id="rId21" Type="http://schemas.openxmlformats.org/officeDocument/2006/relationships/hyperlink" Target="https://lameteorologie.fr/issues/2023/120/meteo_2023_120_2" TargetMode="External"/><Relationship Id="rId7" Type="http://schemas.openxmlformats.org/officeDocument/2006/relationships/hyperlink" Target="https://editions.flammarion.com/histoire-du-climat-depuis-lan-mil/9782081451988" TargetMode="External"/><Relationship Id="rId12" Type="http://schemas.openxmlformats.org/officeDocument/2006/relationships/hyperlink" Target="https://www.larvf.com/les-viticulteurs-inquiets-face-au-risque-de-gel,4856199.asp" TargetMode="External"/><Relationship Id="rId17" Type="http://schemas.openxmlformats.org/officeDocument/2006/relationships/hyperlink" Target="https://laccave.hub.inrae.fr/content/download/3440/34731?version=1" TargetMode="External"/><Relationship Id="rId25" Type="http://schemas.openxmlformats.org/officeDocument/2006/relationships/hyperlink" Target="https://www.laciteduvin.com/fr/cite-en-ligne/le-vin-breton-la-renaissance-d-un-vignoble" TargetMode="External"/><Relationship Id="rId2" Type="http://schemas.openxmlformats.org/officeDocument/2006/relationships/settings" Target="settings.xml"/><Relationship Id="rId16" Type="http://schemas.openxmlformats.org/officeDocument/2006/relationships/hyperlink" Target="https://www.nature.com/articles/s43017-024-00521-5" TargetMode="External"/><Relationship Id="rId20" Type="http://schemas.openxmlformats.org/officeDocument/2006/relationships/hyperlink" Target="https://www.institut-rhodanien.com/article/2022-un-millesime-de-records" TargetMode="External"/><Relationship Id="rId29" Type="http://schemas.openxmlformats.org/officeDocument/2006/relationships/hyperlink" Target="https://theconversation.com/fr" TargetMode="External"/><Relationship Id="rId1" Type="http://schemas.openxmlformats.org/officeDocument/2006/relationships/styles" Target="styles.xml"/><Relationship Id="rId6" Type="http://schemas.openxmlformats.org/officeDocument/2006/relationships/hyperlink" Target="https://editions.flammarion.com/histoire-du-climat-depuis-lan-mil/9782081451988" TargetMode="External"/><Relationship Id="rId11" Type="http://schemas.openxmlformats.org/officeDocument/2006/relationships/hyperlink" Target="https://www.inrae.fr/sites/default/files/pdf/laccave-infographies-du-projet-1_0.pdf" TargetMode="External"/><Relationship Id="rId24" Type="http://schemas.openxmlformats.org/officeDocument/2006/relationships/hyperlink" Target="https://climatology.edpsciences.org/articles/climat/full_html/2023/02/climat20232102/climat20232102.html" TargetMode="External"/><Relationship Id="rId32" Type="http://schemas.openxmlformats.org/officeDocument/2006/relationships/theme" Target="theme/theme1.xml"/><Relationship Id="rId5" Type="http://schemas.openxmlformats.org/officeDocument/2006/relationships/hyperlink" Target="https://store.oeno.tm.fr/libfr/compterendu/closvougeot2007.html" TargetMode="External"/><Relationship Id="rId15" Type="http://schemas.openxmlformats.org/officeDocument/2006/relationships/hyperlink" Target="https://www.quae.com/produit/1842/9782759237975/vigne-vin-et-changement-climatique" TargetMode="External"/><Relationship Id="rId23" Type="http://schemas.openxmlformats.org/officeDocument/2006/relationships/hyperlink" Target="https://www.legifrance.gouv.fr/jorf/id/JORFARTI000031741340" TargetMode="External"/><Relationship Id="rId28" Type="http://schemas.openxmlformats.org/officeDocument/2006/relationships/hyperlink" Target="https://theconversation.com/profiles/valerie-bonnardot-1650677" TargetMode="External"/><Relationship Id="rId10" Type="http://schemas.openxmlformats.org/officeDocument/2006/relationships/hyperlink" Target="https://www.ipcc.ch/report/ar6/wg1/downloads/report/IPCC_AR6_WGI_FullReport_small.pdf" TargetMode="External"/><Relationship Id="rId19" Type="http://schemas.openxmlformats.org/officeDocument/2006/relationships/hyperlink" Target="https://doi.org/10.1073/pnas.1210127110" TargetMode="External"/><Relationship Id="rId31" Type="http://schemas.openxmlformats.org/officeDocument/2006/relationships/fontTable" Target="fontTable.xml"/><Relationship Id="rId4" Type="http://schemas.openxmlformats.org/officeDocument/2006/relationships/hyperlink" Target="https://www.dunod.com/sciences-techniques/terroirs-viticoles-definitions-caracterisation-et-protection" TargetMode="External"/><Relationship Id="rId9" Type="http://schemas.openxmlformats.org/officeDocument/2006/relationships/hyperlink" Target="https://www.ipcc.ch/report/ar6/wg1/downloads/report/IPCC_AR6_WGI_FullReport_small.pdf" TargetMode="External"/><Relationship Id="rId14" Type="http://schemas.openxmlformats.org/officeDocument/2006/relationships/hyperlink" Target="https://www.inrae.fr/sites/default/files/pdf/laccave-infographies-du-projet-1_0.pdf" TargetMode="External"/><Relationship Id="rId22" Type="http://schemas.openxmlformats.org/officeDocument/2006/relationships/hyperlink" Target="https://www.pnas.org/doi/full/10.1073/pnas.1210127110" TargetMode="External"/><Relationship Id="rId27" Type="http://schemas.openxmlformats.org/officeDocument/2006/relationships/hyperlink" Target="https://climatology.edpsciences.org/articles/climat/full_html/2023/02/climat20232102/climat20232102.html" TargetMode="External"/><Relationship Id="rId30" Type="http://schemas.openxmlformats.org/officeDocument/2006/relationships/hyperlink" Target="https://theconversation.com/dates-des-vendanges-comment-le-climat-souffle-le-chaud-et-le-froid-23814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1821</Words>
  <Characters>10018</Characters>
  <Application>Microsoft Office Word</Application>
  <DocSecurity>0</DocSecurity>
  <Lines>83</Lines>
  <Paragraphs>23</Paragraphs>
  <ScaleCrop>false</ScaleCrop>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xleser@gmail.com</dc:creator>
  <cp:keywords/>
  <dc:description/>
  <cp:lastModifiedBy>xleser@gmail.com</cp:lastModifiedBy>
  <cp:revision>7</cp:revision>
  <dcterms:created xsi:type="dcterms:W3CDTF">2024-10-03T18:38:00Z</dcterms:created>
  <dcterms:modified xsi:type="dcterms:W3CDTF">2024-10-03T18:52:00Z</dcterms:modified>
</cp:coreProperties>
</file>